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1B2E" w:sz="12"/>
              <w:left w:val="none"/>
              <w:bottom w:val="none"/>
              <w:right w:val="none"/>
            </w:tcBorders>
          </w:tcPr>
          <w:p>
            <w:pPr>
              <w:spacing w:before="200"/>
            </w:pPr>
          </w:p>
        </w:tc>
      </w:tr>
    </w:tbl>
    <w:p>
      <w:pPr>
        <w:spacing w:before="400"/>
      </w:pPr>
      <w:r>
        <w:rPr>
          <w:rFonts w:ascii="Arial" w:cs="Arial" w:eastAsia="Arial" w:hAnsi="Arial"/>
          <w:b/>
          <w:bCs/>
          <w:color w:val="1a1a1a"/>
          <w:sz w:val="56"/>
          <w:szCs w:val="56"/>
        </w:rPr>
        <w:t xml:space="preserve">AGOL Content Audit</w:t>
      </w:r>
    </w:p>
    <w:p>
      <w:pPr>
        <w:spacing w:before="120" w:after="200"/>
      </w:pPr>
      <w:r>
        <w:rPr>
          <w:rFonts w:ascii="Arial" w:cs="Arial" w:eastAsia="Arial" w:hAnsi="Arial"/>
          <w:color w:val="4a4a4a"/>
          <w:sz w:val="28"/>
          <w:szCs w:val="28"/>
        </w:rPr>
        <w:t xml:space="preserve">Red Cross ArcGIS Online Organization</w:t>
      </w:r>
    </w:p>
    <w:p>
      <w:pPr>
        <w:spacing w:after="120"/>
      </w:pPr>
      <w:r>
        <w:rPr>
          <w:rFonts w:ascii="Arial" w:cs="Arial" w:eastAsia="Arial" w:hAnsi="Arial"/>
          <w:color w:val="999999"/>
          <w:sz w:val="22"/>
          <w:szCs w:val="22"/>
        </w:rPr>
        <w:t xml:space="preserve">17,634 items across 344 content creators</w:t>
      </w:r>
    </w:p>
    <w:p>
      <w:pPr>
        <w:spacing w:before="600"/>
      </w:pPr>
      <w:r>
        <w:rPr>
          <w:rFonts w:ascii="Arial" w:cs="Arial" w:eastAsia="Arial" w:hAnsi="Arial"/>
          <w:color w:val="4a4a4a"/>
          <w:sz w:val="20"/>
          <w:szCs w:val="20"/>
        </w:rPr>
        <w:t xml:space="preserve">February 4, 2026</w:t>
      </w:r>
    </w:p>
    <w:p>
      <w:r>
        <w:rPr>
          <w:rFonts w:ascii="Arial" w:cs="Arial" w:eastAsia="Arial" w:hAnsi="Arial"/>
          <w:color w:val="4a4a4a"/>
          <w:sz w:val="20"/>
          <w:szCs w:val="20"/>
        </w:rPr>
        <w:t xml:space="preserve">Prepared by Jeff Franzen, GIS Developer</w:t>
      </w:r>
    </w:p>
    <w:p>
      <w:pPr>
        <w:spacing w:before="200"/>
      </w:pPr>
      <w:r>
        <w:rPr>
          <w:rFonts w:ascii="Arial" w:cs="Arial" w:eastAsia="Arial" w:hAnsi="Arial"/>
          <w:i/>
          <w:iCs/>
          <w:color w:val="999999"/>
          <w:sz w:val="16"/>
          <w:szCs w:val="16"/>
        </w:rPr>
        <w:t xml:space="preserve">Read-only analysis — no Red Cross data was modified</w:t>
      </w:r>
    </w:p>
    <w:p>
      <w:pPr>
        <w:sectPr>
          <w:pgSz w:w="12240" w:h="15840" w:orient="portrait"/>
          <w:pgMar w:top="1440" w:right="1440" w:bottom="1440" w:left="1440" w:header="708" w:footer="708" w:gutter="0"/>
          <w:pgNumType/>
          <w:docGrid w:linePitch="360"/>
        </w:sectPr>
      </w:pPr>
    </w:p>
    <w:p>
      <w:pPr>
        <w:pStyle w:val="Heading1"/>
        <w:spacing w:before="360" w:after="120"/>
      </w:pPr>
      <w:r>
        <w:rPr>
          <w:rFonts w:ascii="Arial" w:cs="Arial" w:eastAsia="Arial" w:hAnsi="Arial"/>
          <w:b/>
          <w:bCs/>
          <w:color w:val="1a1a1a"/>
          <w:sz w:val="28"/>
          <w:szCs w:val="28"/>
        </w:rPr>
        <w:t xml:space="preserve">Executive Summary</w:t>
      </w:r>
    </w:p>
    <w:p>
      <w:pPr>
        <w:spacing w:after="120"/>
      </w:pPr>
      <w:r>
        <w:rPr>
          <w:rFonts w:ascii="Arial" w:cs="Arial" w:eastAsia="Arial" w:hAnsi="Arial"/>
          <w:color w:val="2d2d2d"/>
          <w:sz w:val="20"/>
          <w:szCs w:val="20"/>
        </w:rPr>
        <w:t xml:space="preserve">The Red Cross ArcGIS Online organization contains 17,634 unique content items created by 344 people. This audit examines every item's metadata — title, type, tags, views, access level, age, and ownership — to answer a simple question: how does someone find what they need?</w:t>
      </w:r>
    </w:p>
    <w:p>
      <w:pPr>
        <w:spacing w:after="120"/>
      </w:pPr>
      <w:r>
        <w:rPr>
          <w:rFonts w:ascii="Arial" w:cs="Arial" w:eastAsia="Arial" w:hAnsi="Arial"/>
          <w:color w:val="2d2d2d"/>
          <w:sz w:val="20"/>
          <w:szCs w:val="20"/>
        </w:rPr>
        <w:t xml:space="preserve">The short answer: they can't. A quarter of all content (4,454 items) has no tags, no snippet, and no description. Two-thirds have no description at all. Only 3.8% carry the "authoritative" badge. The organization has accumulated content for years without consistent metadata standards, and the result is a haystack where even experienced staff rely on personal knowledge or word-of-mouth to locate resources.</w:t>
      </w:r>
    </w:p>
    <w:p>
      <w:pPr>
        <w:spacing w:after="120"/>
      </w:pPr>
      <w:r>
        <w:rPr>
          <w:rFonts w:ascii="Arial" w:cs="Arial" w:eastAsia="Arial" w:hAnsi="Arial"/>
          <w:color w:val="2d2d2d"/>
          <w:sz w:val="20"/>
          <w:szCs w:val="20"/>
        </w:rPr>
        <w:t xml:space="preserve">Marty Malley's RC GIS Catalog (83 curated items in an Experience Builder app) is a pragmatic response to this problem — hand-picking the most critical disaster response resources and categorizing them. This audit validates that approach while identifying 2,515 additional high-value items that could be surfaced through similar curation or automated discovery.</w:t>
      </w:r>
    </w:p>
    <w:p>
      <w:pPr>
        <w:spacing w:before="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left w:val="none"/>
              <w:bottom w:val="none"/>
              <w:right w:val="none"/>
            </w:tcBorders>
          </w:tcPr>
          <w:p>
            <w:pPr>
              <w:jc w:val="center"/>
            </w:pPr>
            <w:r>
              <w:rPr>
                <w:rFonts w:ascii="Arial" w:cs="Arial" w:eastAsia="Arial" w:hAnsi="Arial"/>
                <w:b/>
                <w:bCs/>
                <w:color w:val="ED1B2E"/>
                <w:sz w:val="44"/>
                <w:szCs w:val="44"/>
              </w:rPr>
              <w:t xml:space="preserve">17,634</w:t>
            </w:r>
          </w:p>
          <w:p>
            <w:pPr>
              <w:spacing w:after="40"/>
              <w:jc w:val="center"/>
            </w:pPr>
            <w:r>
              <w:rPr>
                <w:rFonts w:ascii="Arial" w:cs="Arial" w:eastAsia="Arial" w:hAnsi="Arial"/>
                <w:color w:val="4a4a4a"/>
                <w:sz w:val="18"/>
                <w:szCs w:val="18"/>
              </w:rPr>
              <w:t xml:space="preserve">Total Items</w:t>
            </w:r>
          </w:p>
          <w:p>
            <w:pPr>
              <w:jc w:val="center"/>
            </w:pPr>
            <w:r>
              <w:rPr>
                <w:rFonts w:ascii="Arial" w:cs="Arial" w:eastAsia="Arial" w:hAnsi="Arial"/>
                <w:i/>
                <w:iCs/>
                <w:color w:val="999999"/>
                <w:sz w:val="16"/>
                <w:szCs w:val="16"/>
              </w:rPr>
              <w:t xml:space="preserve">across the org</w:t>
            </w:r>
          </w:p>
        </w:tc>
        <w:tc>
          <w:tcPr>
            <w:tcW w:type="dxa" w:w="2340"/>
            <w:tcBorders>
              <w:top w:val="none"/>
              <w:left w:val="none"/>
              <w:bottom w:val="none"/>
              <w:right w:val="none"/>
            </w:tcBorders>
          </w:tcPr>
          <w:p>
            <w:pPr>
              <w:jc w:val="center"/>
            </w:pPr>
            <w:r>
              <w:rPr>
                <w:rFonts w:ascii="Arial" w:cs="Arial" w:eastAsia="Arial" w:hAnsi="Arial"/>
                <w:b/>
                <w:bCs/>
                <w:color w:val="ED1B2E"/>
                <w:sz w:val="44"/>
                <w:szCs w:val="44"/>
              </w:rPr>
              <w:t xml:space="preserve">4,454</w:t>
            </w:r>
          </w:p>
          <w:p>
            <w:pPr>
              <w:spacing w:after="40"/>
              <w:jc w:val="center"/>
            </w:pPr>
            <w:r>
              <w:rPr>
                <w:rFonts w:ascii="Arial" w:cs="Arial" w:eastAsia="Arial" w:hAnsi="Arial"/>
                <w:color w:val="4a4a4a"/>
                <w:sz w:val="18"/>
                <w:szCs w:val="18"/>
              </w:rPr>
              <w:t xml:space="preserve">Undiscoverable</w:t>
            </w:r>
          </w:p>
          <w:p>
            <w:pPr>
              <w:jc w:val="center"/>
            </w:pPr>
            <w:r>
              <w:rPr>
                <w:rFonts w:ascii="Arial" w:cs="Arial" w:eastAsia="Arial" w:hAnsi="Arial"/>
                <w:i/>
                <w:iCs/>
                <w:color w:val="999999"/>
                <w:sz w:val="16"/>
                <w:szCs w:val="16"/>
              </w:rPr>
              <w:t xml:space="preserve">no tags/snippet/desc</w:t>
            </w:r>
          </w:p>
        </w:tc>
        <w:tc>
          <w:tcPr>
            <w:tcW w:type="dxa" w:w="2340"/>
            <w:tcBorders>
              <w:top w:val="none"/>
              <w:left w:val="none"/>
              <w:bottom w:val="none"/>
              <w:right w:val="none"/>
            </w:tcBorders>
          </w:tcPr>
          <w:p>
            <w:pPr>
              <w:jc w:val="center"/>
            </w:pPr>
            <w:r>
              <w:rPr>
                <w:rFonts w:ascii="Arial" w:cs="Arial" w:eastAsia="Arial" w:hAnsi="Arial"/>
                <w:b/>
                <w:bCs/>
                <w:color w:val="ED1B2E"/>
                <w:sz w:val="44"/>
                <w:szCs w:val="44"/>
              </w:rPr>
              <w:t xml:space="preserve">1,818</w:t>
            </w:r>
          </w:p>
          <w:p>
            <w:pPr>
              <w:spacing w:after="40"/>
              <w:jc w:val="center"/>
            </w:pPr>
            <w:r>
              <w:rPr>
                <w:rFonts w:ascii="Arial" w:cs="Arial" w:eastAsia="Arial" w:hAnsi="Arial"/>
                <w:color w:val="4a4a4a"/>
                <w:sz w:val="18"/>
                <w:szCs w:val="18"/>
              </w:rPr>
              <w:t xml:space="preserve">Zero Views</w:t>
            </w:r>
          </w:p>
          <w:p>
            <w:pPr>
              <w:jc w:val="center"/>
            </w:pPr>
            <w:r>
              <w:rPr>
                <w:rFonts w:ascii="Arial" w:cs="Arial" w:eastAsia="Arial" w:hAnsi="Arial"/>
                <w:i/>
                <w:iCs/>
                <w:color w:val="999999"/>
                <w:sz w:val="16"/>
                <w:szCs w:val="16"/>
              </w:rPr>
              <w:t xml:space="preserve">never accessed</w:t>
            </w:r>
          </w:p>
        </w:tc>
        <w:tc>
          <w:tcPr>
            <w:tcW w:type="dxa" w:w="2340"/>
            <w:tcBorders>
              <w:top w:val="none"/>
              <w:left w:val="none"/>
              <w:bottom w:val="none"/>
              <w:right w:val="none"/>
            </w:tcBorders>
          </w:tcPr>
          <w:p>
            <w:pPr>
              <w:jc w:val="center"/>
            </w:pPr>
            <w:r>
              <w:rPr>
                <w:rFonts w:ascii="Arial" w:cs="Arial" w:eastAsia="Arial" w:hAnsi="Arial"/>
                <w:b/>
                <w:bCs/>
                <w:color w:val="ED1B2E"/>
                <w:sz w:val="44"/>
                <w:szCs w:val="44"/>
              </w:rPr>
              <w:t xml:space="preserve">2,522</w:t>
            </w:r>
          </w:p>
          <w:p>
            <w:pPr>
              <w:spacing w:after="40"/>
              <w:jc w:val="center"/>
            </w:pPr>
            <w:r>
              <w:rPr>
                <w:rFonts w:ascii="Arial" w:cs="Arial" w:eastAsia="Arial" w:hAnsi="Arial"/>
                <w:color w:val="4a4a4a"/>
                <w:sz w:val="18"/>
                <w:szCs w:val="18"/>
              </w:rPr>
              <w:t xml:space="preserve">High-Value</w:t>
            </w:r>
          </w:p>
          <w:p>
            <w:pPr>
              <w:jc w:val="center"/>
            </w:pPr>
            <w:r>
              <w:rPr>
                <w:rFonts w:ascii="Arial" w:cs="Arial" w:eastAsia="Arial" w:hAnsi="Arial"/>
                <w:i/>
                <w:iCs/>
                <w:color w:val="999999"/>
                <w:sz w:val="16"/>
                <w:szCs w:val="16"/>
              </w:rPr>
              <w:t xml:space="preserve">Tier 1 items</w:t>
            </w:r>
          </w:p>
        </w:tc>
      </w:tr>
    </w:tbl>
    <w:p>
      <w:r>
        <w:br/>
      </w:r>
    </w:p>
    <w:p>
      <w:pPr>
        <w:pStyle w:val="Heading1"/>
        <w:spacing w:before="360" w:after="120"/>
      </w:pPr>
      <w:r>
        <w:rPr>
          <w:rFonts w:ascii="Arial" w:cs="Arial" w:eastAsia="Arial" w:hAnsi="Arial"/>
          <w:b/>
          <w:bCs/>
          <w:color w:val="1a1a1a"/>
          <w:sz w:val="28"/>
          <w:szCs w:val="28"/>
        </w:rPr>
        <w:t xml:space="preserve">1. The Discovery Crisis</w:t>
      </w:r>
    </w:p>
    <w:p>
      <w:pPr>
        <w:spacing w:after="120"/>
      </w:pPr>
      <w:r>
        <w:rPr>
          <w:rFonts w:ascii="Arial" w:cs="Arial" w:eastAsia="Arial" w:hAnsi="Arial"/>
          <w:color w:val="2d2d2d"/>
          <w:sz w:val="20"/>
          <w:szCs w:val="20"/>
        </w:rPr>
        <w:t xml:space="preserve">The single largest barrier to effective GIS use at Red Cross is not a lack of data — it's the inability to find it. The metadata quality analysis reveals systemic gaps: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800"/>
        <w:gridCol w:w="1800"/>
        <w:gridCol w:w="1760"/>
      </w:tblGrid>
      <w:tr>
        <w:tc>
          <w:tcPr>
            <w:tcW w:type="dxa" w:w="40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Metadata Field</w:t>
            </w:r>
          </w:p>
        </w:tc>
        <w:tc>
          <w:tcPr>
            <w:tcW w:type="dxa" w:w="18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Missing</w:t>
            </w:r>
          </w:p>
        </w:tc>
        <w:tc>
          <w:tcPr>
            <w:tcW w:type="dxa" w:w="18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 Missing</w:t>
            </w:r>
          </w:p>
        </w:tc>
        <w:tc>
          <w:tcPr>
            <w:tcW w:type="dxa" w:w="176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Impact</w:t>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Description</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11,424</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64.8%</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ED1B2E"/>
                <w:sz w:val="18"/>
                <w:szCs w:val="18"/>
              </w:rPr>
              <w:t xml:space="preserve">Critical</w:t>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Snippet (summary)</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7,486</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42.5%</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bCs/>
                <w:color w:val="1a1a1a"/>
                <w:sz w:val="18"/>
                <w:szCs w:val="18"/>
              </w:rPr>
              <w:t xml:space="preserve">High</w:t>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Tags</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6,057</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34.3%</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1a1a1a"/>
                <w:sz w:val="18"/>
                <w:szCs w:val="18"/>
              </w:rPr>
              <w:t xml:space="preserve">High</w:t>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Categories (AGOL)</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14,136</w:t>
            </w:r>
          </w:p>
        </w:tc>
        <w:tc>
          <w:tcPr>
            <w:tcW w:type="dxa" w:w="1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80.2%</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bCs/>
                <w:color w:val="1a1a1a"/>
                <w:sz w:val="18"/>
                <w:szCs w:val="18"/>
              </w:rPr>
              <w:t xml:space="preserve">Moderate</w:t>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Authoritative status</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16,944</w:t>
            </w:r>
          </w:p>
        </w:tc>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96.1%</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ED1B2E"/>
                <w:sz w:val="18"/>
                <w:szCs w:val="18"/>
              </w:rPr>
              <w:t xml:space="preserve">Critical</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1B2E" w:sz="6"/>
              <w:left w:val="single" w:color="CCCCCC" w:sz="1"/>
              <w:bottom w:val="single" w:color="CCCCCC" w:sz="1"/>
              <w:right w:val="single" w:color="CCCCCC" w:sz="1"/>
            </w:tcBorders>
            <w:shd w:fill="FFF5F5" w:val="clear"/>
            <w:tcMar>
              <w:top w:type="dxa" w:w="100"/>
              <w:left w:type="dxa" w:w="160"/>
              <w:bottom w:type="dxa" w:w="100"/>
              <w:right w:type="dxa" w:w="160"/>
            </w:tcMar>
          </w:tcPr>
          <w:p>
            <w:r>
              <w:rPr>
                <w:rFonts w:ascii="Arial" w:cs="Arial" w:eastAsia="Arial" w:hAnsi="Arial"/>
                <w:b/>
                <w:bCs/>
                <w:color w:val="ED1B2E"/>
                <w:sz w:val="20"/>
                <w:szCs w:val="20"/>
              </w:rPr>
              <w:t xml:space="preserve">⚠ </w:t>
            </w:r>
            <w:r>
              <w:rPr>
                <w:rFonts w:ascii="Arial" w:cs="Arial" w:eastAsia="Arial" w:hAnsi="Arial"/>
                <w:color w:val="2d2d2d"/>
                <w:sz w:val="20"/>
                <w:szCs w:val="20"/>
              </w:rPr>
              <w:t xml:space="preserve">4,454 items (25.3%) have NO tags, NO snippet, AND NO description — they are effectively invisible to search.</w:t>
            </w:r>
          </w:p>
        </w:tc>
      </w:tr>
    </w:tbl>
    <w:p>
      <w:pPr>
        <w:pStyle w:val="Heading1"/>
        <w:spacing w:before="360" w:after="120"/>
      </w:pPr>
      <w:r>
        <w:rPr>
          <w:rFonts w:ascii="Arial" w:cs="Arial" w:eastAsia="Arial" w:hAnsi="Arial"/>
          <w:b/>
          <w:bCs/>
          <w:color w:val="1a1a1a"/>
          <w:sz w:val="28"/>
          <w:szCs w:val="28"/>
        </w:rPr>
        <w:t xml:space="preserve">2. Content Freshness</w:t>
      </w:r>
    </w:p>
    <w:p>
      <w:pPr>
        <w:spacing w:after="120"/>
      </w:pPr>
      <w:r>
        <w:rPr>
          <w:rFonts w:ascii="Arial" w:cs="Arial" w:eastAsia="Arial" w:hAnsi="Arial"/>
          <w:color w:val="2d2d2d"/>
          <w:sz w:val="20"/>
          <w:szCs w:val="20"/>
        </w:rPr>
        <w:t xml:space="preserve">Content age tells us what's actively maintained versus abandoned. Over 45% of all items haven't been modified in more than a year, and 6.7% are over 3 years stale.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1600"/>
        <w:gridCol w:w="1480"/>
        <w:gridCol w:w="1480"/>
      </w:tblGrid>
      <w:tr>
        <w:tc>
          <w:tcPr>
            <w:tcW w:type="dxa" w:w="3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Last Modified</w:t>
            </w:r>
          </w:p>
        </w:tc>
        <w:tc>
          <w:tcPr>
            <w:tcW w:type="dxa" w:w="16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Items</w:t>
            </w:r>
          </w:p>
        </w:tc>
        <w:tc>
          <w:tcPr>
            <w:tcW w:type="dxa" w:w="16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 of Total</w:t>
            </w:r>
          </w:p>
        </w:tc>
        <w:tc>
          <w:tcPr>
            <w:tcW w:type="dxa" w:w="148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0-View Items</w:t>
            </w:r>
          </w:p>
        </w:tc>
        <w:tc>
          <w:tcPr>
            <w:tcW w:type="dxa" w:w="148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Signal</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Last 30 days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2,407</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13.6%</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228B22"/>
                <w:sz w:val="18"/>
                <w:szCs w:val="18"/>
              </w:rPr>
              <w:t xml:space="preserve">Active</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1–6 months</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3,314</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18.8%</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228B22"/>
                <w:sz w:val="18"/>
                <w:szCs w:val="18"/>
              </w:rPr>
              <w:t xml:space="preserve">Current</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6–12 months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3,838</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21.8%</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CC8800"/>
                <w:sz w:val="18"/>
                <w:szCs w:val="18"/>
              </w:rPr>
              <w:t xml:space="preserve">Monitor</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1–2 years</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6,087</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34.5%</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CC8800"/>
                <w:sz w:val="18"/>
                <w:szCs w:val="18"/>
              </w:rPr>
              <w:t xml:space="preserve">Stale risk</w:t>
            </w:r>
          </w:p>
        </w:tc>
      </w:tr>
      <w:tr>
        <w:tc>
          <w:tcPr>
            <w:tcW w:type="dxa" w:w="3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2–3 years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800</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4.5%</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ED1B2E"/>
                <w:sz w:val="18"/>
                <w:szCs w:val="18"/>
              </w:rPr>
              <w:t xml:space="preserve">Likely stale</w:t>
            </w:r>
          </w:p>
        </w:tc>
      </w:tr>
      <w:tr>
        <w:tc>
          <w:tcPr>
            <w:tcW w:type="dxa" w:w="3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3+ years</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1,188</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6.7%</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ED1B2E"/>
                <w:sz w:val="18"/>
                <w:szCs w:val="18"/>
              </w:rPr>
              <w:t xml:space="preserve">Archive</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1B2E" w:sz="6"/>
              <w:left w:val="single" w:color="CCCCCC" w:sz="1"/>
              <w:bottom w:val="single" w:color="CCCCCC" w:sz="1"/>
              <w:right w:val="single" w:color="CCCCCC" w:sz="1"/>
            </w:tcBorders>
            <w:shd w:fill="FFF5F5" w:val="clear"/>
            <w:tcMar>
              <w:top w:type="dxa" w:w="100"/>
              <w:left w:type="dxa" w:w="160"/>
              <w:bottom w:type="dxa" w:w="100"/>
              <w:right w:type="dxa" w:w="160"/>
            </w:tcMar>
          </w:tcPr>
          <w:p>
            <w:r>
              <w:rPr>
                <w:rFonts w:ascii="Arial" w:cs="Arial" w:eastAsia="Arial" w:hAnsi="Arial"/>
                <w:b/>
                <w:bCs/>
                <w:color w:val="ED1B2E"/>
                <w:sz w:val="20"/>
                <w:szCs w:val="20"/>
              </w:rPr>
              <w:t xml:space="preserve">⚠ </w:t>
            </w:r>
            <w:r>
              <w:rPr>
                <w:rFonts w:ascii="Arial" w:cs="Arial" w:eastAsia="Arial" w:hAnsi="Arial"/>
                <w:color w:val="2d2d2d"/>
                <w:sz w:val="20"/>
                <w:szCs w:val="20"/>
              </w:rPr>
              <w:t xml:space="preserve">933 items have zero views AND haven't been modified in over a year — strong candidates for archiving.</w:t>
            </w:r>
          </w:p>
        </w:tc>
      </w:tr>
    </w:tbl>
    <w:p>
      <w:r>
        <w:br w:type="page"/>
      </w:r>
    </w:p>
    <w:p>
      <w:pPr>
        <w:pStyle w:val="Heading1"/>
        <w:spacing w:before="360" w:after="120"/>
      </w:pPr>
      <w:r>
        <w:rPr>
          <w:rFonts w:ascii="Arial" w:cs="Arial" w:eastAsia="Arial" w:hAnsi="Arial"/>
          <w:b/>
          <w:bCs/>
          <w:color w:val="1a1a1a"/>
          <w:sz w:val="28"/>
          <w:szCs w:val="28"/>
        </w:rPr>
        <w:t xml:space="preserve">3. Ownership Concentration</w:t>
      </w:r>
    </w:p>
    <w:p>
      <w:pPr>
        <w:spacing w:after="120"/>
      </w:pPr>
      <w:r>
        <w:rPr>
          <w:rFonts w:ascii="Arial" w:cs="Arial" w:eastAsia="Arial" w:hAnsi="Arial"/>
          <w:color w:val="2d2d2d"/>
          <w:sz w:val="20"/>
          <w:szCs w:val="20"/>
        </w:rPr>
        <w:t xml:space="preserve">Content creation is extremely top-heavy. The top 5 accounts own nearly a third of all org content, and the top 20 own 59.2%. This creates institutional risk — if key people leave, their content context leaves with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1600"/>
        <w:gridCol w:w="1760"/>
        <w:gridCol w:w="2000"/>
      </w:tblGrid>
      <w:tr>
        <w:tc>
          <w:tcPr>
            <w:tcW w:type="dxa" w:w="40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Owner</w:t>
            </w:r>
          </w:p>
        </w:tc>
        <w:tc>
          <w:tcPr>
            <w:tcW w:type="dxa" w:w="16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Items</w:t>
            </w:r>
          </w:p>
        </w:tc>
        <w:tc>
          <w:tcPr>
            <w:tcW w:type="dxa" w:w="176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 of Org</w:t>
            </w:r>
          </w:p>
        </w:tc>
        <w:tc>
          <w:tcPr>
            <w:tcW w:type="dxa" w:w="20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Note</w:t>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Jeff Franzen</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1,514</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8.6%</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org_admin</w:t>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NHQRedCrossGIS (Greg Tune)</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1,503</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8.5%</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account_admin</w:t>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Ryan Baird</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1,118</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6.3%</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Ron Reitman</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877</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5.0%</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arcguest5</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796</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4.5%</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ED1B2E"/>
                <w:sz w:val="18"/>
                <w:szCs w:val="18"/>
              </w:rPr>
              <w:t xml:space="preserve">Review needed</w:t>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Troy Rathbun</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707</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4.0%</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Robert Thomas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472</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2.7%</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Andrii Berdnyk</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412</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2.3%</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Shirley Leung</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339</w:t>
            </w:r>
          </w:p>
        </w:tc>
        <w:tc>
          <w:tcPr>
            <w:tcW w:type="dxa" w:w="17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1.9%</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
            </w:r>
          </w:p>
        </w:tc>
      </w:tr>
      <w:tr>
        <w:tc>
          <w:tcPr>
            <w:tcW w:type="dxa" w:w="4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partner_hub_content</w:t>
            </w:r>
          </w:p>
        </w:tc>
        <w:tc>
          <w:tcPr>
            <w:tcW w:type="dxa" w:w="16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322</w:t>
            </w:r>
          </w:p>
        </w:tc>
        <w:tc>
          <w:tcPr>
            <w:tcW w:type="dxa" w:w="17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1.8%</w:t>
            </w:r>
          </w:p>
        </w:tc>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ED1B2E"/>
                <w:sz w:val="18"/>
                <w:szCs w:val="18"/>
              </w:rPr>
              <w:t xml:space="preserve">Last login Jun 2021</w:t>
            </w:r>
          </w:p>
        </w:tc>
      </w:tr>
    </w:tbl>
    <w:p>
      <w:pPr>
        <w:spacing w:before="200"/>
      </w:pPr>
    </w:p>
    <w:p>
      <w:pPr>
        <w:spacing w:after="120"/>
      </w:pPr>
      <w:r>
        <w:rPr>
          <w:rFonts w:ascii="Arial" w:cs="Arial" w:eastAsia="Arial" w:hAnsi="Arial"/>
          <w:color w:val="2d2d2d"/>
          <w:sz w:val="20"/>
          <w:szCs w:val="20"/>
        </w:rPr>
        <w:t xml:space="preserve">The "arcguest5" account (796 items, 5th highest) and the orphaned "partner_hub_content" account (322 items, last login June 2021) both warrant review for ownership reassignment.</w:t>
      </w:r>
    </w:p>
    <w:p>
      <w:pPr>
        <w:pStyle w:val="Heading1"/>
        <w:spacing w:before="360" w:after="120"/>
      </w:pPr>
      <w:r>
        <w:rPr>
          <w:rFonts w:ascii="Arial" w:cs="Arial" w:eastAsia="Arial" w:hAnsi="Arial"/>
          <w:b/>
          <w:bCs/>
          <w:color w:val="1a1a1a"/>
          <w:sz w:val="28"/>
          <w:szCs w:val="28"/>
        </w:rPr>
        <w:t xml:space="preserve">4. What's in the Org</w:t>
      </w:r>
    </w:p>
    <w:p>
      <w:pPr>
        <w:spacing w:after="120"/>
      </w:pPr>
      <w:r>
        <w:rPr>
          <w:rFonts w:ascii="Arial" w:cs="Arial" w:eastAsia="Arial" w:hAnsi="Arial"/>
          <w:color w:val="2d2d2d"/>
          <w:sz w:val="20"/>
          <w:szCs w:val="20"/>
        </w:rPr>
        <w:t xml:space="preserve">The org contains a healthy mix of operational content. Nearly half (43.7%) are user-facing apps and dashboards, with another 30% being data services. The infrastructure layer (service definitions, code attachments, forms) accounts for 12.1% and is generally not relevant to end users.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500"/>
        <w:gridCol w:w="1500"/>
        <w:gridCol w:w="1500"/>
        <w:gridCol w:w="1380"/>
        <w:gridCol w:w="1480"/>
      </w:tblGrid>
      <w:tr>
        <w:tc>
          <w:tcPr>
            <w:tcW w:type="dxa" w:w="35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Category</w:t>
            </w:r>
          </w:p>
        </w:tc>
        <w:tc>
          <w:tcPr>
            <w:tcW w:type="dxa" w:w="15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Items</w:t>
            </w:r>
          </w:p>
        </w:tc>
        <w:tc>
          <w:tcPr>
            <w:tcW w:type="dxa" w:w="15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 of Org</w:t>
            </w:r>
          </w:p>
        </w:tc>
        <w:tc>
          <w:tcPr>
            <w:tcW w:type="dxa" w:w="138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Top Type</w:t>
            </w:r>
          </w:p>
        </w:tc>
        <w:tc>
          <w:tcPr>
            <w:tcW w:type="dxa" w:w="148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Count</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Apps &amp; Dashboards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7,698</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43.7%</w:t>
            </w:r>
          </w:p>
        </w:tc>
        <w:tc>
          <w:tcPr>
            <w:tcW w:type="dxa" w:w="13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Web Map</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4,022</w:t>
            </w:r>
          </w:p>
        </w:tc>
      </w:tr>
      <w:tr>
        <w:tc>
          <w:tcPr>
            <w:tcW w:type="dxa" w:w="3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Data Services</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5,299</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30.0%</w:t>
            </w:r>
          </w:p>
        </w:tc>
        <w:tc>
          <w:tcPr>
            <w:tcW w:type="dxa" w:w="13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Feature Svc</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4,850</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Raw Data Files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1,993</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11.3%</w:t>
            </w:r>
          </w:p>
        </w:tc>
        <w:tc>
          <w:tcPr>
            <w:tcW w:type="dxa" w:w="13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CSV</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911</w:t>
            </w:r>
          </w:p>
        </w:tc>
      </w:tr>
      <w:tr>
        <w:tc>
          <w:tcPr>
            <w:tcW w:type="dxa" w:w="3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Infrastructure/Config</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2,136</w:t>
            </w:r>
          </w:p>
        </w:tc>
        <w:tc>
          <w:tcPr>
            <w:tcW w:type="dxa" w:w="15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12.1%</w:t>
            </w:r>
          </w:p>
        </w:tc>
        <w:tc>
          <w:tcPr>
            <w:tcW w:type="dxa" w:w="13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Svc Def</w:t>
            </w:r>
          </w:p>
        </w:tc>
        <w:tc>
          <w:tcPr>
            <w:tcW w:type="dxa" w:w="148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1,382</w:t>
            </w:r>
          </w:p>
        </w:tc>
      </w:tr>
      <w:tr>
        <w:tc>
          <w:tcPr>
            <w:tcW w:type="dxa" w:w="3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Documents</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507</w:t>
            </w:r>
          </w:p>
        </w:tc>
        <w:tc>
          <w:tcPr>
            <w:tcW w:type="dxa" w:w="1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2.9%</w:t>
            </w:r>
          </w:p>
        </w:tc>
        <w:tc>
          <w:tcPr>
            <w:tcW w:type="dxa" w:w="13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Image</w:t>
            </w:r>
          </w:p>
        </w:tc>
        <w:tc>
          <w:tcPr>
            <w:tcW w:type="dxa" w:w="148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411</w:t>
            </w:r>
          </w:p>
        </w:tc>
      </w:tr>
    </w:tbl>
    <w:p>
      <w:r>
        <w:br w:type="page"/>
      </w:r>
    </w:p>
    <w:p>
      <w:pPr>
        <w:pStyle w:val="Heading1"/>
        <w:spacing w:before="360" w:after="120"/>
      </w:pPr>
      <w:r>
        <w:rPr>
          <w:rFonts w:ascii="Arial" w:cs="Arial" w:eastAsia="Arial" w:hAnsi="Arial"/>
          <w:b/>
          <w:bCs/>
          <w:color w:val="1a1a1a"/>
          <w:sz w:val="28"/>
          <w:szCs w:val="28"/>
        </w:rPr>
        <w:t xml:space="preserve">5. Disaster-Relevant Content by Category</w:t>
      </w:r>
    </w:p>
    <w:p>
      <w:pPr>
        <w:spacing w:after="120"/>
      </w:pPr>
      <w:r>
        <w:rPr>
          <w:rFonts w:ascii="Arial" w:cs="Arial" w:eastAsia="Arial" w:hAnsi="Arial"/>
          <w:color w:val="2d2d2d"/>
          <w:sz w:val="20"/>
          <w:szCs w:val="20"/>
        </w:rPr>
        <w:t xml:space="preserve">Keyword analysis reveals substantial disaster-relevant content across all major hazard types. The numbers below represent items whose title, tags, or snippet contain category-specific keywords.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200"/>
        <w:gridCol w:w="1200"/>
        <w:gridCol w:w="4160"/>
      </w:tblGrid>
      <w:tr>
        <w:tc>
          <w:tcPr>
            <w:tcW w:type="dxa" w:w="28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Disaster Category</w:t>
            </w:r>
          </w:p>
        </w:tc>
        <w:tc>
          <w:tcPr>
            <w:tcW w:type="dxa" w:w="1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Total</w:t>
            </w:r>
          </w:p>
        </w:tc>
        <w:tc>
          <w:tcPr>
            <w:tcW w:type="dxa" w:w="1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Tier 1</w:t>
            </w:r>
          </w:p>
        </w:tc>
        <w:tc>
          <w:tcPr>
            <w:tcW w:type="dxa" w:w="416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Most Viewed Item</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Damage Assessment</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4,361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987</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USA Current Wildfires (504K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Wildfire</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972</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232</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Hawaii Wildfires (1.2M views)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Shelter/Operations</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978</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179</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Red Cross Shelter Map (1.1M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Flood</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781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229</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Spring Storms &amp; Floods 2025 (452K)</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Donor/Fundraising</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571</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71</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Blood donation rules (1.8M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Demographics/Census</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486</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115</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NA Population Density (110K views)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Hurricane/Tropical</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445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164</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Hurricane Helene (828K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Volunteer/Workforce</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450</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91</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Workforce Deployments (18K views)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Tornado</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325</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119</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Tornado US layer (440K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Power/Infrastructure</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315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92</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County Power Outages (301K views)</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Earthquake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74</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12</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Situation Map (10K views)</w:t>
            </w:r>
          </w:p>
        </w:tc>
      </w:tr>
      <w:tr>
        <w:tc>
          <w:tcPr>
            <w:tcW w:type="dxa" w:w="28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Winter Storm</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55</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26</w:t>
            </w:r>
          </w:p>
        </w:tc>
        <w:tc>
          <w:tcPr>
            <w:tcW w:type="dxa" w:w="41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Winter precip probability (16K views)</w:t>
            </w:r>
          </w:p>
        </w:tc>
      </w:tr>
    </w:tbl>
    <w:p>
      <w:pPr>
        <w:spacing w:before="200"/>
      </w:pPr>
    </w:p>
    <w:p>
      <w:pPr>
        <w:spacing w:after="120"/>
      </w:pPr>
      <w:r>
        <w:rPr>
          <w:rFonts w:ascii="Arial" w:cs="Arial" w:eastAsia="Arial" w:hAnsi="Arial"/>
          <w:color w:val="2d2d2d"/>
          <w:sz w:val="20"/>
          <w:szCs w:val="20"/>
        </w:rPr>
        <w:t xml:space="preserve">Damage Assessment dominates with 4,361 items — reflecting the volume of Digital Damage Assessment (DDA) data collected per event. Earthquake (74) and Winter Storm (55) content is notably thin relative to organizational exposure.</w:t>
      </w:r>
    </w:p>
    <w:p>
      <w:pPr>
        <w:pStyle w:val="Heading1"/>
        <w:spacing w:before="360" w:after="120"/>
      </w:pPr>
      <w:r>
        <w:rPr>
          <w:rFonts w:ascii="Arial" w:cs="Arial" w:eastAsia="Arial" w:hAnsi="Arial"/>
          <w:b/>
          <w:bCs/>
          <w:color w:val="1a1a1a"/>
          <w:sz w:val="28"/>
          <w:szCs w:val="28"/>
        </w:rPr>
        <w:t xml:space="preserve">6. Marty's Catalog vs. the Org</w:t>
      </w:r>
    </w:p>
    <w:p>
      <w:pPr>
        <w:spacing w:after="120"/>
      </w:pPr>
      <w:r>
        <w:rPr>
          <w:rFonts w:ascii="Arial" w:cs="Arial" w:eastAsia="Arial" w:hAnsi="Arial"/>
          <w:color w:val="2d2d2d"/>
          <w:sz w:val="20"/>
          <w:szCs w:val="20"/>
        </w:rPr>
        <w:t xml:space="preserve">The RC GIS Catalog contains 83 curated items. Of these, only 10 point to items within the Red Cross AGOL org — the remaining 73 are external resources (NWS, FEMA, NOAA, ESRI, etc.). This is by design: the catalog is primarily a directory of authoritative external sources.</w:t>
      </w:r>
    </w:p>
    <w:p>
      <w:pPr>
        <w:spacing w:after="120"/>
      </w:pPr>
      <w:r>
        <w:rPr>
          <w:rFonts w:ascii="Arial" w:cs="Arial" w:eastAsia="Arial" w:hAnsi="Arial"/>
          <w:color w:val="2d2d2d"/>
          <w:sz w:val="20"/>
          <w:szCs w:val="20"/>
        </w:rPr>
        <w:t xml:space="preserve">However, the org contains 2,515 Tier 1 items that are NOT in the catalog. These are high-value, well-documented, actively viewed resources that disaster ops staff would benefit from knowing about. The most viewed uncatalogued items include: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3560"/>
        <w:gridCol w:w="2400"/>
        <w:gridCol w:w="2200"/>
      </w:tblGrid>
      <w:tr>
        <w:tc>
          <w:tcPr>
            <w:tcW w:type="dxa" w:w="1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Views</w:t>
            </w:r>
          </w:p>
        </w:tc>
        <w:tc>
          <w:tcPr>
            <w:tcW w:type="dxa" w:w="356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Item</w:t>
            </w:r>
          </w:p>
        </w:tc>
        <w:tc>
          <w:tcPr>
            <w:tcW w:type="dxa" w:w="24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Type</w:t>
            </w:r>
          </w:p>
        </w:tc>
        <w:tc>
          <w:tcPr>
            <w:tcW w:type="dxa" w:w="2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Owner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1.8M</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Blood donation rules are now more inclusive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StoryMap</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Rodney Wilson</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1.2M</w:t>
            </w:r>
          </w:p>
        </w:tc>
        <w:tc>
          <w:tcPr>
            <w:tcW w:type="dxa" w:w="35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Hawaii Wildfires</w:t>
            </w:r>
          </w:p>
        </w:tc>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StoryMap</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staylor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1.1M</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Red Cross Shelter Map</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Web Map</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NHQRedCrossGIS</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1.0M</w:t>
            </w:r>
          </w:p>
        </w:tc>
        <w:tc>
          <w:tcPr>
            <w:tcW w:type="dxa" w:w="35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California Wildfires 2025</w:t>
            </w:r>
          </w:p>
        </w:tc>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StoryMap</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staylor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828K</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Hurricane Helene</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StoryMap</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staylor</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576K</w:t>
            </w:r>
          </w:p>
        </w:tc>
        <w:tc>
          <w:tcPr>
            <w:tcW w:type="dxa" w:w="35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Partner Hub</w:t>
            </w:r>
          </w:p>
        </w:tc>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Hub Site</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partner_hub_content</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504K</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USA Current Wildfires</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Feature Service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NHQRedCrossGIS</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452K</w:t>
            </w:r>
          </w:p>
        </w:tc>
        <w:tc>
          <w:tcPr>
            <w:tcW w:type="dxa" w:w="35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Spring Storms and Floods 2025</w:t>
            </w:r>
          </w:p>
        </w:tc>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StoryMap</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staylor</w:t>
            </w:r>
          </w:p>
        </w:tc>
      </w:tr>
      <w:tr>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438K</w:t>
            </w:r>
          </w:p>
        </w:tc>
        <w:tc>
          <w:tcPr>
            <w:tcW w:type="dxa" w:w="3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Storm Prediction Center Outlooks</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Map Service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NHQRedCrossGIS</w:t>
            </w:r>
          </w:p>
        </w:tc>
      </w:tr>
      <w:tr>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304K</w:t>
            </w:r>
          </w:p>
        </w:tc>
        <w:tc>
          <w:tcPr>
            <w:tcW w:type="dxa" w:w="35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National Operations Summary</w:t>
            </w:r>
          </w:p>
        </w:tc>
        <w:tc>
          <w:tcPr>
            <w:tcW w:type="dxa" w:w="24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Web Experience</w:t>
            </w:r>
          </w:p>
        </w:tc>
        <w:tc>
          <w:tcPr>
            <w:tcW w:type="dxa" w:w="2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Kasie Richards</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D1B2E" w:sz="6"/>
              <w:left w:val="single" w:color="CCCCCC" w:sz="1"/>
              <w:bottom w:val="single" w:color="CCCCCC" w:sz="1"/>
              <w:right w:val="single" w:color="CCCCCC" w:sz="1"/>
            </w:tcBorders>
            <w:shd w:fill="FFF5F5" w:val="clear"/>
            <w:tcMar>
              <w:top w:type="dxa" w:w="100"/>
              <w:left w:type="dxa" w:w="160"/>
              <w:bottom w:type="dxa" w:w="100"/>
              <w:right w:type="dxa" w:w="160"/>
            </w:tcMar>
          </w:tcPr>
          <w:p>
            <w:r>
              <w:rPr>
                <w:rFonts w:ascii="Arial" w:cs="Arial" w:eastAsia="Arial" w:hAnsi="Arial"/>
                <w:b/>
                <w:bCs/>
                <w:color w:val="ED1B2E"/>
                <w:sz w:val="20"/>
                <w:szCs w:val="20"/>
              </w:rPr>
              <w:t xml:space="preserve">⚠ </w:t>
            </w:r>
            <w:r>
              <w:rPr>
                <w:rFonts w:ascii="Arial" w:cs="Arial" w:eastAsia="Arial" w:hAnsi="Arial"/>
                <w:color w:val="2d2d2d"/>
                <w:sz w:val="20"/>
                <w:szCs w:val="20"/>
              </w:rPr>
              <w:t xml:space="preserve">3 catalog items point to AGOL IDs that were not found in the org inventory — these may be deleted or inaccessible items requiring URL updates.</w:t>
            </w:r>
          </w:p>
        </w:tc>
      </w:tr>
    </w:tbl>
    <w:p>
      <w:r>
        <w:br w:type="page"/>
      </w:r>
    </w:p>
    <w:p>
      <w:pPr>
        <w:pStyle w:val="Heading1"/>
        <w:spacing w:before="360" w:after="120"/>
      </w:pPr>
      <w:r>
        <w:rPr>
          <w:rFonts w:ascii="Arial" w:cs="Arial" w:eastAsia="Arial" w:hAnsi="Arial"/>
          <w:b/>
          <w:bCs/>
          <w:color w:val="1a1a1a"/>
          <w:sz w:val="28"/>
          <w:szCs w:val="28"/>
        </w:rPr>
        <w:t xml:space="preserve">7. Recommended Tiered Approach</w:t>
      </w:r>
    </w:p>
    <w:p>
      <w:pPr>
        <w:spacing w:after="120"/>
      </w:pPr>
      <w:r>
        <w:rPr>
          <w:rFonts w:ascii="Arial" w:cs="Arial" w:eastAsia="Arial" w:hAnsi="Arial"/>
          <w:color w:val="2d2d2d"/>
          <w:sz w:val="20"/>
          <w:szCs w:val="20"/>
        </w:rPr>
        <w:t xml:space="preserve">Rather than attempting to organize all 17,634 items, this audit segments them into actionable tiers based on view count, metadata quality, recency, and item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00"/>
        <w:gridCol w:w="1200"/>
        <w:gridCol w:w="4960"/>
      </w:tblGrid>
      <w:tr>
        <w:tc>
          <w:tcPr>
            <w:tcW w:type="dxa" w:w="20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Tier</w:t>
            </w:r>
          </w:p>
        </w:tc>
        <w:tc>
          <w:tcPr>
            <w:tcW w:type="dxa" w:w="1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Items</w:t>
            </w:r>
          </w:p>
        </w:tc>
        <w:tc>
          <w:tcPr>
            <w:tcW w:type="dxa" w:w="120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 of Org</w:t>
            </w:r>
          </w:p>
        </w:tc>
        <w:tc>
          <w:tcPr>
            <w:tcW w:type="dxa" w:w="4960"/>
            <w:tcBorders>
              <w:top w:val="single" w:color="CCCCCC" w:sz="1"/>
              <w:left w:val="single" w:color="CCCCCC" w:sz="1"/>
              <w:bottom w:val="single" w:color="CCCCCC" w:sz="1"/>
              <w:right w:val="single" w:color="CCCCCC" w:sz="1"/>
            </w:tcBorders>
            <w:shd w:fill="2d2d2d" w:val="clear"/>
            <w:tcMar>
              <w:top w:type="dxa" w:w="60"/>
              <w:left w:type="dxa" w:w="100"/>
              <w:bottom w:type="dxa" w:w="60"/>
              <w:right w:type="dxa" w:w="100"/>
            </w:tcMar>
            <w:vAlign w:val="center"/>
          </w:tcPr>
          <w:p>
            <w:r>
              <w:rPr>
                <w:rFonts w:ascii="Arial" w:cs="Arial" w:eastAsia="Arial" w:hAnsi="Arial"/>
                <w:b/>
                <w:bCs/>
                <w:color w:val="FFFFFF"/>
                <w:sz w:val="18"/>
                <w:szCs w:val="18"/>
              </w:rPr>
              <w:t xml:space="preserve">Criteria</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ED1B2E"/>
                <w:sz w:val="18"/>
                <w:szCs w:val="18"/>
              </w:rPr>
              <w:t xml:space="preserve">Tier 1: High-Value</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2,522</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14.3%</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100+ views, 2+ metadata fields, under 2 years old, OR marked authoritative</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bCs/>
                <w:color w:val="1a1a1a"/>
                <w:sz w:val="18"/>
                <w:szCs w:val="18"/>
              </w:rPr>
              <w:t xml:space="preserve">Tier 2: Useful</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4,191</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23.8%</w:t>
            </w:r>
          </w:p>
        </w:tc>
        <w:tc>
          <w:tcPr>
            <w:tcW w:type="dxa" w:w="49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10+ views, 1+ metadata field, under 3 years old</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1a1a1a"/>
                <w:sz w:val="18"/>
                <w:szCs w:val="18"/>
              </w:rPr>
              <w:t xml:space="preserve">Tier 3: Low Signal</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8,712</w:t>
            </w:r>
          </w:p>
        </w:tc>
        <w:tc>
          <w:tcPr>
            <w:tcW w:type="dxa" w:w="12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49.4%</w:t>
            </w:r>
          </w:p>
        </w:tc>
        <w:tc>
          <w:tcPr>
            <w:tcW w:type="dxa" w:w="49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Everything else — may contain value but lacks signals</w:t>
            </w:r>
          </w:p>
        </w:tc>
      </w:tr>
      <w:tr>
        <w:tc>
          <w:tcPr>
            <w:tcW w:type="dxa" w:w="20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bCs/>
                <w:color w:val="1a1a1a"/>
                <w:sz w:val="18"/>
                <w:szCs w:val="18"/>
              </w:rPr>
              <w:t xml:space="preserve">Noise</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2,209</w:t>
            </w:r>
          </w:p>
        </w:tc>
        <w:tc>
          <w:tcPr>
            <w:tcW w:type="dxa" w:w="120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right"/>
            </w:pPr>
            <w:r>
              <w:rPr>
                <w:rFonts w:ascii="Arial" w:cs="Arial" w:eastAsia="Arial" w:hAnsi="Arial"/>
                <w:b w:val="false"/>
                <w:bCs w:val="false"/>
                <w:color w:val="1a1a1a"/>
                <w:sz w:val="18"/>
                <w:szCs w:val="18"/>
              </w:rPr>
              <w:t xml:space="preserve">12.5%</w:t>
            </w:r>
          </w:p>
        </w:tc>
        <w:tc>
          <w:tcPr>
            <w:tcW w:type="dxa" w:w="4960"/>
            <w:tcBorders>
              <w:top w:val="single" w:color="CCCCCC" w:sz="1"/>
              <w:left w:val="single" w:color="CCCCCC" w:sz="1"/>
              <w:bottom w:val="single" w:color="CCCCCC" w:sz="1"/>
              <w:right w:val="single" w:color="CCCCCC" w:sz="1"/>
            </w:tcBorders>
            <w:shd w:fill="F5F5F5" w:val="clear"/>
            <w:tcMar>
              <w:top w:type="dxa" w:w="60"/>
              <w:left w:type="dxa" w:w="100"/>
              <w:bottom w:type="dxa" w:w="60"/>
              <w:right w:type="dxa" w:w="100"/>
            </w:tcMar>
          </w:tcPr>
          <w:p>
            <w:pPr>
              <w:jc w:val="left"/>
            </w:pPr>
            <w:r>
              <w:rPr>
                <w:rFonts w:ascii="Arial" w:cs="Arial" w:eastAsia="Arial" w:hAnsi="Arial"/>
                <w:b w:val="false"/>
                <w:bCs w:val="false"/>
                <w:color w:val="1a1a1a"/>
                <w:sz w:val="18"/>
                <w:szCs w:val="18"/>
              </w:rPr>
              <w:t xml:space="preserve">Infrastructure items (service defs, code attachments) or zero views + no metadata + 1 year stale</w:t>
            </w:r>
          </w:p>
        </w:tc>
      </w:tr>
    </w:tbl>
    <w:p>
      <w:pPr>
        <w:spacing w:before="300"/>
      </w:pPr>
    </w:p>
    <w:p>
      <w:pPr>
        <w:pStyle w:val="Heading2"/>
        <w:spacing w:before="240" w:after="120"/>
      </w:pPr>
      <w:r>
        <w:rPr>
          <w:rFonts w:ascii="Arial" w:cs="Arial" w:eastAsia="Arial" w:hAnsi="Arial"/>
          <w:b/>
          <w:bCs/>
          <w:color w:val="1a1a1a"/>
          <w:sz w:val="24"/>
          <w:szCs w:val="24"/>
        </w:rPr>
        <w:t xml:space="preserve">8. Three Paths Forward</w:t>
      </w:r>
    </w:p>
    <w:p>
      <w:pPr>
        <w:spacing w:before="200"/>
      </w:pPr>
      <w:r>
        <w:rPr>
          <w:rFonts w:ascii="Arial" w:cs="Arial" w:eastAsia="Arial" w:hAnsi="Arial"/>
          <w:b/>
          <w:bCs/>
          <w:color w:val="1a1a1a"/>
          <w:sz w:val="20"/>
          <w:szCs w:val="20"/>
        </w:rPr>
        <w:t xml:space="preserve">Path A: Expand the curated catalog. </w:t>
      </w:r>
      <w:r>
        <w:rPr>
          <w:rFonts w:ascii="Arial" w:cs="Arial" w:eastAsia="Arial" w:hAnsi="Arial"/>
          <w:color w:val="2d2d2d"/>
          <w:sz w:val="20"/>
          <w:szCs w:val="20"/>
        </w:rPr>
        <w:t xml:space="preserve">Take the 2,522 Tier 1 items and auto-classify them using the same category system Marty built (Weather, Flooding, Wildfire, etc.). This becomes a "Discovered" tier alongside the existing "Curated" tier. Zero risk to existing data — the classification lives outside AGOL entirely.</w:t>
      </w:r>
    </w:p>
    <w:p>
      <w:pPr>
        <w:spacing w:before="160"/>
      </w:pPr>
      <w:r>
        <w:rPr>
          <w:rFonts w:ascii="Arial" w:cs="Arial" w:eastAsia="Arial" w:hAnsi="Arial"/>
          <w:b/>
          <w:bCs/>
          <w:color w:val="1a1a1a"/>
          <w:sz w:val="20"/>
          <w:szCs w:val="20"/>
        </w:rPr>
        <w:t xml:space="preserve">Path B: Build a search layer. </w:t>
      </w:r>
      <w:r>
        <w:rPr>
          <w:rFonts w:ascii="Arial" w:cs="Arial" w:eastAsia="Arial" w:hAnsi="Arial"/>
          <w:color w:val="2d2d2d"/>
          <w:sz w:val="20"/>
          <w:szCs w:val="20"/>
        </w:rPr>
        <w:t xml:space="preserve">Create a standalone search application (hosted on Vercel or GitHub Pages) that queries the local inventory CSV with keyword, category, and recency filters. This gives disaster ops staff a fast way to find what they need without navigating AGOL's native search. Could integrate Marty's curated catalog as the "featured results" at the top of every search.</w:t>
      </w:r>
    </w:p>
    <w:p>
      <w:pPr>
        <w:spacing w:before="160"/>
      </w:pPr>
      <w:r>
        <w:rPr>
          <w:rFonts w:ascii="Arial" w:cs="Arial" w:eastAsia="Arial" w:hAnsi="Arial"/>
          <w:b/>
          <w:bCs/>
          <w:color w:val="1a1a1a"/>
          <w:sz w:val="20"/>
          <w:szCs w:val="20"/>
        </w:rPr>
        <w:t xml:space="preserve">Path C: AI-powered classification. </w:t>
      </w:r>
      <w:r>
        <w:rPr>
          <w:rFonts w:ascii="Arial" w:cs="Arial" w:eastAsia="Arial" w:hAnsi="Arial"/>
          <w:color w:val="2d2d2d"/>
          <w:sz w:val="20"/>
          <w:szCs w:val="20"/>
        </w:rPr>
        <w:t xml:space="preserve">Use Claude to read every item's title, tags, snippet, and type, then auto-assign disaster categories, quality scores, and suggested descriptions for the 11,424 items that currently have none. Outputs a recommendation spreadsheet that humans review before any changes are made to AGOL. This is the highest-value, longest-horizon approach.</w:t>
      </w:r>
    </w:p>
    <w:p>
      <w:pPr>
        <w:spacing w:before="300"/>
      </w:pPr>
    </w:p>
    <w:p>
      <w:pPr>
        <w:pStyle w:val="Heading2"/>
        <w:spacing w:before="240" w:after="120"/>
      </w:pPr>
      <w:r>
        <w:rPr>
          <w:rFonts w:ascii="Arial" w:cs="Arial" w:eastAsia="Arial" w:hAnsi="Arial"/>
          <w:b/>
          <w:bCs/>
          <w:color w:val="1a1a1a"/>
          <w:sz w:val="24"/>
          <w:szCs w:val="24"/>
        </w:rPr>
        <w:t xml:space="preserve">9. Methodology</w:t>
      </w:r>
    </w:p>
    <w:p>
      <w:pPr>
        <w:spacing w:after="120"/>
      </w:pPr>
      <w:r>
        <w:rPr>
          <w:rFonts w:ascii="Arial" w:cs="Arial" w:eastAsia="Arial" w:hAnsi="Arial"/>
          <w:color w:val="2d2d2d"/>
          <w:sz w:val="20"/>
          <w:szCs w:val="20"/>
        </w:rPr>
        <w:t xml:space="preserve">This audit was conducted on February 4, 2026 using authenticated read-only queries against the ArcGIS Online REST API. A 3-legged OAuth flow was used to obtain a user-level access token (authenticated as ARC_Jeff.Franzen_825009, org_admin role). The search API was queried by item type to bypass the 10,000-result cap, retrieving 17,634 unique items. No items were created, modified, or deleted in the Red Cross AGOL organization during this process.</w:t>
      </w:r>
    </w:p>
    <w:p>
      <w:pPr>
        <w:spacing w:after="120"/>
      </w:pPr>
      <w:r>
        <w:rPr>
          <w:rFonts w:ascii="Arial" w:cs="Arial" w:eastAsia="Arial" w:hAnsi="Arial"/>
          <w:color w:val="2d2d2d"/>
          <w:sz w:val="20"/>
          <w:szCs w:val="20"/>
        </w:rPr>
        <w:t xml:space="preserve">The RC GIS Catalog data (83 items) was queried separately from the RC_GIS_Catalog_Container feature service. Organization member data (4,262 members) was analyzed from a CSV export dated February 1, 2026.</w:t>
      </w:r>
    </w:p>
    <w:p>
      <w:pPr>
        <w:spacing w:after="120"/>
      </w:pPr>
      <w:r>
        <w:rPr>
          <w:rFonts w:ascii="Arial" w:cs="Arial" w:eastAsia="Arial" w:hAnsi="Arial"/>
          <w:color w:val="2d2d2d"/>
          <w:sz w:val="20"/>
          <w:szCs w:val="20"/>
        </w:rPr>
        <w:t xml:space="preserve">Item segmentation into tiers used a composite scoring model based on view count (numViews), metadata completeness (tags, snippet, description), recency (days since last modification), content status (authoritative marking), and item type classification. Infrastructure types (Service Definition, Code Attachment, Form) were automatically classified as noise regardless of other signals.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6"/>
        <w:szCs w:val="16"/>
      </w:rPr>
      <w:t xml:space="preserve">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AGOL Content Audit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1a"/>
      <w:sz w:val="28"/>
      <w:szCs w:val="28"/>
    </w:rPr>
  </w:style>
  <w:style w:type="paragraph" w:styleId="Heading2">
    <w:name w:val="Heading 2"/>
    <w:basedOn w:val="Normal"/>
    <w:next w:val="Normal"/>
    <w:qFormat/>
    <w:pPr>
      <w:spacing w:before="240" w:after="120"/>
      <w:outlineLvl w:val="1"/>
    </w:pPr>
    <w:rPr>
      <w:rFonts w:ascii="Arial" w:cs="Arial" w:eastAsia="Arial" w:hAnsi="Arial"/>
      <w:b/>
      <w:bCs/>
      <w:color w:val="2d2d2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2026-02-04T22:10:46.032Z</dcterms:created>
  <dcterms:modified xsi:type="dcterms:W3CDTF">2026-02-04T22:10:46.033Z</dcterms:modified>
</cp:coreProperties>
</file>

<file path=docProps/custom.xml><?xml version="1.0" encoding="utf-8"?>
<Properties xmlns="http://schemas.openxmlformats.org/officeDocument/2006/custom-properties" xmlns:vt="http://schemas.openxmlformats.org/officeDocument/2006/docPropsVTypes"/>
</file>