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CC0000" w:val="clear"/>
            <w:tcMar>
              <w:top w:type="dxa" w:w="360"/>
              <w:left w:type="dxa" w:w="360"/>
              <w:bottom w:type="dxa" w:w="360"/>
              <w:right w:type="dxa" w:w="360"/>
            </w:tcMar>
          </w:tcPr>
          <w:p>
            <w:pPr>
              <w:spacing w:before="0" w:after="80"/>
              <w:jc w:val="center"/>
            </w:pPr>
            <w:r>
              <w:rPr>
                <w:rFonts w:ascii="Arial" w:cs="Arial" w:eastAsia="Arial" w:hAnsi="Arial"/>
                <w:b/>
                <w:bCs/>
                <w:color w:val="FFFFFF"/>
                <w:sz w:val="20"/>
                <w:szCs w:val="20"/>
              </w:rPr>
              <w:t xml:space="preserve">SECURITY &amp; RISK ASSESSMENT</w:t>
            </w:r>
          </w:p>
          <w:p>
            <w:pPr>
              <w:spacing w:before="0" w:after="80"/>
              <w:jc w:val="center"/>
            </w:pPr>
            <w:r>
              <w:rPr>
                <w:rFonts w:ascii="Arial" w:cs="Arial" w:eastAsia="Arial" w:hAnsi="Arial"/>
                <w:b/>
                <w:bCs/>
                <w:color w:val="FFFFFF"/>
                <w:sz w:val="32"/>
                <w:szCs w:val="32"/>
              </w:rPr>
              <w:t xml:space="preserve">Custom ArcGIS SDK Applications vs. No-Code ESRI Tools</w:t>
            </w:r>
          </w:p>
          <w:p>
            <w:pPr>
              <w:spacing w:before="80" w:after="0"/>
              <w:jc w:val="center"/>
            </w:pPr>
            <w:r>
              <w:rPr>
                <w:rFonts w:ascii="Arial" w:cs="Arial" w:eastAsia="Arial" w:hAnsi="Arial"/>
                <w:color w:val="FFCCCC"/>
                <w:sz w:val="18"/>
                <w:szCs w:val="18"/>
              </w:rPr>
              <w:t xml:space="preserve">American Red Cross  |  GIS Technology Initiative  |  2026</w:t>
            </w:r>
          </w:p>
        </w:tc>
      </w:tr>
    </w:tbl>
    <w:p>
      <w:pPr>
        <w:spacing w:before="8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shd w:fill="E8F0F7" w:val="clear"/>
            <w:tcMar>
              <w:top w:type="dxa" w:w="200"/>
              <w:left w:type="dxa" w:w="240"/>
              <w:bottom w:type="dxa" w:w="200"/>
              <w:right w:type="dxa" w:w="240"/>
            </w:tcMar>
          </w:tcPr>
          <w:p>
            <w:pPr>
              <w:spacing w:before="0" w:after="100"/>
            </w:pPr>
            <w:r>
              <w:rPr>
                <w:rFonts w:ascii="Arial" w:cs="Arial" w:eastAsia="Arial" w:hAnsi="Arial"/>
                <w:b/>
                <w:bCs/>
                <w:color w:val="CC0000"/>
                <w:sz w:val="18"/>
                <w:szCs w:val="18"/>
              </w:rPr>
              <w:t xml:space="preserve">EXECUTIVE SUMMARY</w:t>
            </w:r>
          </w:p>
          <w:p>
            <w:pPr>
              <w:spacing w:before="0" w:after="80"/>
            </w:pPr>
            <w:r>
              <w:rPr>
                <w:rFonts w:ascii="Arial" w:cs="Arial" w:eastAsia="Arial" w:hAnsi="Arial"/>
                <w:sz w:val="20"/>
                <w:szCs w:val="20"/>
              </w:rPr>
              <w:t xml:space="preserve">This brief evaluates the security profile of custom ArcGIS SDK web applications deployed on Vercel, compared to Red Cross's existing no-code ESRI tools (Experience Builder, Dashboards, StoryMaps). The assessment finds that the custom approach presents a comparable — and in several dimensions superior — security posture, with substantially greater auditability, data control, and operational flexibility.</w:t>
            </w:r>
          </w:p>
          <w:p>
            <w:pPr>
              <w:spacing w:before="80" w:after="0"/>
            </w:pPr>
            <w:r>
              <w:rPr>
                <w:rFonts w:ascii="Arial" w:cs="Arial" w:eastAsia="Arial" w:hAnsi="Arial"/>
                <w:color w:val="444444"/>
                <w:sz w:val="18"/>
                <w:szCs w:val="18"/>
              </w:rPr>
              <w:t xml:space="preserve">Prepared by: Jeff Franzen (Dragon), GIS Developer, American Red Cross</w:t>
            </w:r>
          </w:p>
        </w:tc>
      </w:tr>
    </w:tbl>
    <w:p>
      <w:pPr>
        <w:spacing w:before="80" w:after="80"/>
      </w:pPr>
      <w:r>
        <w:t xml:space="preserve"/>
      </w:r>
    </w:p>
    <w:p>
      <w:pPr>
        <w:pStyle w:val="Heading1"/>
        <w:pBdr>
          <w:bottom w:val="single" w:color="CC0000" w:sz="6" w:space="4"/>
        </w:pBdr>
        <w:spacing w:before="360" w:after="120"/>
      </w:pPr>
      <w:r>
        <w:rPr>
          <w:rFonts w:ascii="Arial" w:cs="Arial" w:eastAsia="Arial" w:hAnsi="Arial"/>
          <w:b/>
          <w:bCs/>
          <w:color w:val="1A1A2E"/>
          <w:sz w:val="28"/>
          <w:szCs w:val="28"/>
        </w:rPr>
        <w:t xml:space="preserve">1. Scope of This Assessment</w:t>
      </w:r>
    </w:p>
    <w:p>
      <w:pPr>
        <w:spacing w:before="80" w:after="80"/>
      </w:pPr>
      <w:r>
        <w:rPr>
          <w:rFonts w:ascii="Arial" w:cs="Arial" w:eastAsia="Arial" w:hAnsi="Arial"/>
          <w:sz w:val="20"/>
          <w:szCs w:val="20"/>
        </w:rPr>
        <w:t xml:space="preserve">This document addresses the security, data governance, and operational risk profile of the following technology stack, currently in use for Red Cross GIS development:</w:t>
      </w:r>
    </w:p>
    <w:p>
      <w:pPr>
        <w:spacing w:before="8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3240"/>
        <w:gridCol w:w="6480"/>
      </w:tblGrid>
      <w:tr>
        <w:tc>
          <w:tcPr>
            <w:tcW w:type="dxa" w:w="3240"/>
            <w:tcBorders>
              <w:top w:val="single" w:color="CCCCCC" w:sz="1"/>
              <w:left w:val="single" w:color="CCCCCC" w:sz="1"/>
              <w:bottom w:val="single" w:color="CCCCCC" w:sz="1"/>
              <w:right w:val="single" w:color="CCCCCC" w:sz="1"/>
            </w:tcBorders>
            <w:shd w:fill="CC0000" w:val="clear"/>
            <w:tcMar>
              <w:top w:type="dxa" w:w="80"/>
              <w:left w:type="dxa" w:w="120"/>
              <w:bottom w:type="dxa" w:w="80"/>
              <w:right w:type="dxa" w:w="120"/>
            </w:tcMar>
          </w:tcPr>
          <w:p>
            <w:r>
              <w:rPr>
                <w:rFonts w:ascii="Arial" w:cs="Arial" w:eastAsia="Arial" w:hAnsi="Arial"/>
                <w:b/>
                <w:bCs/>
                <w:color w:val="FFFFFF"/>
                <w:sz w:val="19"/>
                <w:szCs w:val="19"/>
              </w:rPr>
              <w:t xml:space="preserve">Component</w:t>
            </w:r>
          </w:p>
        </w:tc>
        <w:tc>
          <w:tcPr>
            <w:tcW w:type="dxa" w:w="6480"/>
            <w:tcBorders>
              <w:top w:val="single" w:color="CCCCCC" w:sz="1"/>
              <w:left w:val="single" w:color="CCCCCC" w:sz="1"/>
              <w:bottom w:val="single" w:color="CCCCCC" w:sz="1"/>
              <w:right w:val="single" w:color="CCCCCC" w:sz="1"/>
            </w:tcBorders>
            <w:shd w:fill="CC0000" w:val="clear"/>
            <w:tcMar>
              <w:top w:type="dxa" w:w="80"/>
              <w:left w:type="dxa" w:w="120"/>
              <w:bottom w:type="dxa" w:w="80"/>
              <w:right w:type="dxa" w:w="120"/>
            </w:tcMar>
          </w:tcPr>
          <w:p>
            <w:r>
              <w:rPr>
                <w:rFonts w:ascii="Arial" w:cs="Arial" w:eastAsia="Arial" w:hAnsi="Arial"/>
                <w:b/>
                <w:bCs/>
                <w:color w:val="FFFFFF"/>
                <w:sz w:val="19"/>
                <w:szCs w:val="19"/>
              </w:rPr>
              <w:t xml:space="preserve">Purpose</w:t>
            </w:r>
          </w:p>
        </w:tc>
      </w:tr>
      <w:tr>
        <w:tc>
          <w:tcPr>
            <w:tcW w:type="dxa" w:w="32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19"/>
                <w:szCs w:val="19"/>
              </w:rPr>
              <w:t xml:space="preserve">@arcgis/core (ESRI npm SDK)</w:t>
            </w:r>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Official ESRI mapping SDK — same codebase as Experience Builder</w:t>
            </w:r>
          </w:p>
        </w:tc>
      </w:tr>
      <w:tr>
        <w:tc>
          <w:tcPr>
            <w:tcW w:type="dxa" w:w="32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19"/>
                <w:szCs w:val="19"/>
              </w:rPr>
              <w:t xml:space="preserve">Next.js (React framework)</w:t>
            </w:r>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Web application framework for building custom GIS interfaces</w:t>
            </w:r>
          </w:p>
        </w:tc>
      </w:tr>
      <w:tr>
        <w:tc>
          <w:tcPr>
            <w:tcW w:type="dxa" w:w="32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19"/>
                <w:szCs w:val="19"/>
              </w:rPr>
              <w:t xml:space="preserve">Vercel</w:t>
            </w:r>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Deployment platform — SOC 2 Type II certified cloud host</w:t>
            </w:r>
          </w:p>
        </w:tc>
      </w:tr>
      <w:tr>
        <w:tc>
          <w:tcPr>
            <w:tcW w:type="dxa" w:w="32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19"/>
                <w:szCs w:val="19"/>
              </w:rPr>
              <w:t xml:space="preserve">ArcGIS Online (AGOL) OAuth</w:t>
            </w:r>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Identity and authentication — managed by ESRI, same as Web AppBuilder</w:t>
            </w:r>
          </w:p>
        </w:tc>
      </w:tr>
      <w:tr>
        <w:tc>
          <w:tcPr>
            <w:tcW w:type="dxa" w:w="3240"/>
            <w:tcBorders>
              <w:top w:val="single" w:color="CCCCCC" w:sz="1"/>
              <w:left w:val="single" w:color="CCCCCC" w:sz="1"/>
              <w:bottom w:val="single" w:color="CCCCCC" w:sz="1"/>
              <w:right w:val="single" w:color="CCCCCC" w:sz="1"/>
            </w:tcBorders>
            <w:shd w:fill="F5F5F5" w:val="clear"/>
            <w:tcMar>
              <w:top w:type="dxa" w:w="80"/>
              <w:left w:type="dxa" w:w="120"/>
              <w:bottom w:type="dxa" w:w="80"/>
              <w:right w:type="dxa" w:w="120"/>
            </w:tcMar>
          </w:tcPr>
          <w:p>
            <w:r>
              <w:rPr>
                <w:rFonts w:ascii="Arial" w:cs="Arial" w:eastAsia="Arial" w:hAnsi="Arial"/>
                <w:b/>
                <w:bCs/>
                <w:sz w:val="19"/>
                <w:szCs w:val="19"/>
              </w:rPr>
              <w:t xml:space="preserve">Claude API (Anthropic)</w:t>
            </w:r>
          </w:p>
        </w:tc>
        <w:tc>
          <w:tcPr>
            <w:tcW w:type="dxa" w:w="64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9"/>
                <w:szCs w:val="19"/>
              </w:rPr>
              <w:t xml:space="preserve">Natural language processing for query generation — no data storage</w:t>
            </w:r>
          </w:p>
        </w:tc>
      </w:tr>
    </w:tbl>
    <w:p>
      <w:pPr>
        <w:spacing w:before="80" w:after="80"/>
      </w:pPr>
      <w:r>
        <w:t xml:space="preserve"/>
      </w:r>
    </w:p>
    <w:p>
      <w:pPr>
        <w:pStyle w:val="Heading1"/>
        <w:pBdr>
          <w:bottom w:val="single" w:color="CC0000" w:sz="6" w:space="4"/>
        </w:pBdr>
        <w:spacing w:before="360" w:after="120"/>
      </w:pPr>
      <w:r>
        <w:rPr>
          <w:rFonts w:ascii="Arial" w:cs="Arial" w:eastAsia="Arial" w:hAnsi="Arial"/>
          <w:b/>
          <w:bCs/>
          <w:color w:val="1A1A2E"/>
          <w:sz w:val="28"/>
          <w:szCs w:val="28"/>
        </w:rPr>
        <w:t xml:space="preserve">2. Data Flow &amp; Security Architecture</w:t>
      </w:r>
    </w:p>
    <w:p>
      <w:pPr>
        <w:spacing w:before="80" w:after="80"/>
      </w:pPr>
      <w:r>
        <w:rPr>
          <w:rFonts w:ascii="Arial" w:cs="Arial" w:eastAsia="Arial" w:hAnsi="Arial"/>
          <w:sz w:val="20"/>
          <w:szCs w:val="20"/>
        </w:rPr>
        <w:t xml:space="preserve">Understanding where data lives and moves is the foundation of this assessment. The diagram below maps all data flows in the custom stack:</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180"/>
              <w:bottom w:type="dxa" w:w="120"/>
              <w:right w:type="dxa" w:w="180"/>
            </w:tcMar>
          </w:tcPr>
          <w:p>
            <w:pPr>
              <w:spacing w:before="40" w:after="40"/>
            </w:pPr>
            <w:r>
              <w:rPr>
                <w:rFonts w:ascii="Arial" w:cs="Arial" w:eastAsia="Arial" w:hAnsi="Arial"/>
                <w:b/>
                <w:bCs/>
                <w:color w:val="1A1A2E"/>
                <w:sz w:val="18"/>
                <w:szCs w:val="18"/>
              </w:rPr>
              <w:t xml:space="preserve">KEY PRINCIPLE</w:t>
            </w:r>
          </w:p>
          <w:p>
            <w:pPr>
              <w:spacing w:before="40" w:after="40"/>
            </w:pPr>
            <w:r>
              <w:rPr>
                <w:rFonts w:ascii="Arial" w:cs="Arial" w:eastAsia="Arial" w:hAnsi="Arial"/>
                <w:sz w:val="20"/>
                <w:szCs w:val="20"/>
              </w:rPr>
              <w:t xml:space="preserve">Red Cross operational data — shelter records, donor information, operational metrics — never leaves ArcGIS Online at any point in this architecture. The custom application queries AGOL the same way a browser opening a Dashboard does. The AI component (Claude) receives only structural metadata, never feature data.</w:t>
            </w:r>
          </w:p>
        </w:tc>
      </w:tr>
    </w:tbl>
    <w:p>
      <w:pPr>
        <w:spacing w:before="80" w:after="80"/>
      </w:pPr>
      <w:r>
        <w:t xml:space="preserve"/>
      </w:r>
    </w:p>
    <w:p>
      <w:pPr>
        <w:pStyle w:val="Heading2"/>
        <w:spacing w:before="280" w:after="100"/>
      </w:pPr>
      <w:r>
        <w:rPr>
          <w:rFonts w:ascii="Arial" w:cs="Arial" w:eastAsia="Arial" w:hAnsi="Arial"/>
          <w:b/>
          <w:bCs/>
          <w:color w:val="CC0000"/>
          <w:sz w:val="24"/>
          <w:szCs w:val="24"/>
        </w:rPr>
        <w:t xml:space="preserve">2.1  Authentication &amp; Authorization</w:t>
      </w:r>
    </w:p>
    <w:p>
      <w:pPr>
        <w:spacing w:before="80" w:after="80"/>
      </w:pPr>
      <w:r>
        <w:rPr>
          <w:rFonts w:ascii="Arial" w:cs="Arial" w:eastAsia="Arial" w:hAnsi="Arial"/>
          <w:sz w:val="20"/>
          <w:szCs w:val="20"/>
        </w:rPr>
        <w:t xml:space="preserve">The custom stack uses ESRI's own OAuth 2.0 implementation — the identical authentication mechanism used by Experience Builder, Web AppBuilder, and all ESRI native applications. There is no custom authentication code.</w:t>
      </w:r>
    </w:p>
    <w:p>
      <w:pPr>
        <w:spacing w:before="80" w:after="80"/>
      </w:pPr>
      <w:r>
        <w:t xml:space="preserve"/>
      </w:r>
    </w:p>
    <w:p>
      <w:pPr>
        <w:pStyle w:val="ListParagraph"/>
        <w:numPr>
          <w:ilvl w:val="0"/>
          <w:numId w:val="2"/>
        </w:numPr>
        <w:spacing w:before="60" w:after="60"/>
      </w:pPr>
      <w:r>
        <w:rPr>
          <w:rFonts w:ascii="Arial" w:cs="Arial" w:eastAsia="Arial" w:hAnsi="Arial"/>
          <w:b w:val="false"/>
          <w:bCs w:val="false"/>
          <w:sz w:val="20"/>
          <w:szCs w:val="20"/>
        </w:rPr>
        <w:t xml:space="preserve">User credentials are entered on arcgis.com — never on the custom application</w:t>
      </w:r>
    </w:p>
    <w:p>
      <w:pPr>
        <w:pStyle w:val="ListParagraph"/>
        <w:numPr>
          <w:ilvl w:val="0"/>
          <w:numId w:val="2"/>
        </w:numPr>
        <w:spacing w:before="60" w:after="60"/>
      </w:pPr>
      <w:r>
        <w:rPr>
          <w:rFonts w:ascii="Arial" w:cs="Arial" w:eastAsia="Arial" w:hAnsi="Arial"/>
          <w:b w:val="false"/>
          <w:bCs w:val="false"/>
          <w:sz w:val="20"/>
          <w:szCs w:val="20"/>
        </w:rPr>
        <w:t xml:space="preserve">AGOL issues a time-limited token — the application never sees the user's password</w:t>
      </w:r>
    </w:p>
    <w:p>
      <w:pPr>
        <w:pStyle w:val="ListParagraph"/>
        <w:numPr>
          <w:ilvl w:val="0"/>
          <w:numId w:val="2"/>
        </w:numPr>
        <w:spacing w:before="60" w:after="60"/>
      </w:pPr>
      <w:r>
        <w:rPr>
          <w:rFonts w:ascii="Arial" w:cs="Arial" w:eastAsia="Arial" w:hAnsi="Arial"/>
          <w:b w:val="false"/>
          <w:bCs w:val="false"/>
          <w:sz w:val="20"/>
          <w:szCs w:val="20"/>
        </w:rPr>
        <w:t xml:space="preserve">Token scope is restricted to the permissions of the logged-in user's AGOL account</w:t>
      </w:r>
    </w:p>
    <w:p>
      <w:pPr>
        <w:pStyle w:val="ListParagraph"/>
        <w:numPr>
          <w:ilvl w:val="0"/>
          <w:numId w:val="2"/>
        </w:numPr>
        <w:spacing w:before="60" w:after="60"/>
      </w:pPr>
      <w:r>
        <w:rPr>
          <w:rFonts w:ascii="Arial" w:cs="Arial" w:eastAsia="Arial" w:hAnsi="Arial"/>
          <w:b w:val="false"/>
          <w:bCs w:val="false"/>
          <w:sz w:val="20"/>
          <w:szCs w:val="20"/>
        </w:rPr>
        <w:t xml:space="preserve">Token expiry and revocation are managed entirely by AGOL — same as any ESRI tool</w:t>
      </w:r>
    </w:p>
    <w:p>
      <w:pPr>
        <w:spacing w:before="80" w:after="80"/>
      </w:pPr>
      <w:r>
        <w:t xml:space="preserve"/>
      </w:r>
    </w:p>
    <w:p>
      <w:pPr>
        <w:pStyle w:val="Heading2"/>
        <w:spacing w:before="280" w:after="100"/>
      </w:pPr>
      <w:r>
        <w:rPr>
          <w:rFonts w:ascii="Arial" w:cs="Arial" w:eastAsia="Arial" w:hAnsi="Arial"/>
          <w:b/>
          <w:bCs/>
          <w:color w:val="CC0000"/>
          <w:sz w:val="24"/>
          <w:szCs w:val="24"/>
        </w:rPr>
        <w:t xml:space="preserve">2.2  The Claude AI Component — Data Isolation</w:t>
      </w:r>
    </w:p>
    <w:p>
      <w:pPr>
        <w:spacing w:before="80" w:after="80"/>
      </w:pPr>
      <w:r>
        <w:rPr>
          <w:rFonts w:ascii="Arial" w:cs="Arial" w:eastAsia="Arial" w:hAnsi="Arial"/>
          <w:sz w:val="20"/>
          <w:szCs w:val="20"/>
        </w:rPr>
        <w:t xml:space="preserve">This component generates the most questions and deserves the most precise explanation.</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20"/>
              <w:left w:type="dxa" w:w="180"/>
              <w:bottom w:type="dxa" w:w="120"/>
              <w:right w:type="dxa" w:w="180"/>
            </w:tcMar>
          </w:tcPr>
          <w:p>
            <w:pPr>
              <w:spacing w:before="40" w:after="40"/>
            </w:pPr>
            <w:r>
              <w:rPr>
                <w:rFonts w:ascii="Arial" w:cs="Arial" w:eastAsia="Arial" w:hAnsi="Arial"/>
                <w:b/>
                <w:bCs/>
                <w:color w:val="1A1A2E"/>
                <w:sz w:val="18"/>
                <w:szCs w:val="18"/>
              </w:rPr>
              <w:t xml:space="preserve">WHAT CLAUDE RECEIVES</w:t>
            </w:r>
          </w:p>
          <w:p>
            <w:pPr>
              <w:spacing w:before="40" w:after="40"/>
            </w:pPr>
            <w:r>
              <w:rPr>
                <w:rFonts w:ascii="Arial" w:cs="Arial" w:eastAsia="Arial" w:hAnsi="Arial"/>
                <w:sz w:val="20"/>
                <w:szCs w:val="20"/>
              </w:rPr>
              <w:t xml:space="preserve">Only: (1) the names of data fields in a layer schema, (2) the user's natural language question. Example: field names like ShelterName, Status, Capacity — and the question "show open shelters in Sacramento." No records. No coordinates. No personal information. No operational data.</w:t>
            </w:r>
          </w:p>
        </w:tc>
      </w:tr>
    </w:tbl>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20"/>
              <w:left w:type="dxa" w:w="180"/>
              <w:bottom w:type="dxa" w:w="120"/>
              <w:right w:type="dxa" w:w="180"/>
            </w:tcMar>
          </w:tcPr>
          <w:p>
            <w:pPr>
              <w:spacing w:before="40" w:after="40"/>
            </w:pPr>
            <w:r>
              <w:rPr>
                <w:rFonts w:ascii="Arial" w:cs="Arial" w:eastAsia="Arial" w:hAnsi="Arial"/>
                <w:b/>
                <w:bCs/>
                <w:color w:val="1A1A2E"/>
                <w:sz w:val="18"/>
                <w:szCs w:val="18"/>
              </w:rPr>
              <w:t xml:space="preserve">WHAT CLAUDE RETURNS</w:t>
            </w:r>
          </w:p>
          <w:p>
            <w:pPr>
              <w:spacing w:before="40" w:after="40"/>
            </w:pPr>
            <w:r>
              <w:rPr>
                <w:rFonts w:ascii="Arial" w:cs="Arial" w:eastAsia="Arial" w:hAnsi="Arial"/>
                <w:sz w:val="20"/>
                <w:szCs w:val="20"/>
              </w:rPr>
              <w:t xml:space="preserve">A SQL WHERE clause string. Example: Status = 'OPEN' AND County = 'Sacramento'. This string is applied locally to the ArcGIS layer. The actual data never travels to Anthropic's servers.</w:t>
            </w:r>
          </w:p>
        </w:tc>
      </w:tr>
    </w:tbl>
    <w:p>
      <w:pPr>
        <w:spacing w:before="80" w:after="80"/>
      </w:pPr>
      <w:r>
        <w:t xml:space="preserve"/>
      </w:r>
    </w:p>
    <w:p>
      <w:pPr>
        <w:spacing w:before="80" w:after="80"/>
      </w:pPr>
      <w:r>
        <w:rPr>
          <w:rFonts w:ascii="Arial" w:cs="Arial" w:eastAsia="Arial" w:hAnsi="Arial"/>
          <w:sz w:val="20"/>
          <w:szCs w:val="20"/>
        </w:rPr>
        <w:t xml:space="preserve">The Anthropic API key that enables this call is stored as a server-side environment variable on Vercel. It is never exposed in browser-facing code. The API call originates from Vercel's servers, not from the end user's browser.</w:t>
      </w:r>
    </w:p>
    <w:p>
      <w:pPr>
        <w:spacing w:before="80" w:after="80"/>
      </w:pPr>
      <w:r>
        <w:t xml:space="preserve"/>
      </w:r>
    </w:p>
    <w:p>
      <w:pPr>
        <w:pStyle w:val="Heading1"/>
        <w:pBdr>
          <w:bottom w:val="single" w:color="CC0000" w:sz="6" w:space="4"/>
        </w:pBdr>
        <w:spacing w:before="360" w:after="120"/>
      </w:pPr>
      <w:r>
        <w:rPr>
          <w:rFonts w:ascii="Arial" w:cs="Arial" w:eastAsia="Arial" w:hAnsi="Arial"/>
          <w:b/>
          <w:bCs/>
          <w:color w:val="1A1A2E"/>
          <w:sz w:val="28"/>
          <w:szCs w:val="28"/>
        </w:rPr>
        <w:t xml:space="preserve">3. Comparative Risk Assessment</w:t>
      </w:r>
    </w:p>
    <w:p>
      <w:pPr>
        <w:spacing w:before="80" w:after="80"/>
      </w:pPr>
      <w:r>
        <w:rPr>
          <w:rFonts w:ascii="Arial" w:cs="Arial" w:eastAsia="Arial" w:hAnsi="Arial"/>
          <w:sz w:val="20"/>
          <w:szCs w:val="20"/>
        </w:rPr>
        <w:t xml:space="preserve">The table below compares specific risk categories between the custom stack and no-code ESRI tools currently approved for Red Cross use.</w:t>
      </w:r>
    </w:p>
    <w:p>
      <w:pPr>
        <w:spacing w:before="80" w:after="8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3000"/>
        <w:gridCol w:w="2400"/>
        <w:gridCol w:w="1920"/>
      </w:tblGrid>
      <w:tr>
        <w:trPr>
          <w:tblHeader/>
        </w:trPr>
        <w:tc>
          <w:tcPr>
            <w:tcW w:type="dxa" w:w="24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rFonts w:ascii="Arial" w:cs="Arial" w:eastAsia="Arial" w:hAnsi="Arial"/>
                <w:b/>
                <w:bCs/>
                <w:color w:val="FFFFFF"/>
                <w:sz w:val="19"/>
                <w:szCs w:val="19"/>
              </w:rPr>
              <w:t xml:space="preserve">Risk Category</w:t>
            </w:r>
          </w:p>
        </w:tc>
        <w:tc>
          <w:tcPr>
            <w:tcW w:type="dxa" w:w="30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rFonts w:ascii="Arial" w:cs="Arial" w:eastAsia="Arial" w:hAnsi="Arial"/>
                <w:b/>
                <w:bCs/>
                <w:color w:val="FFFFFF"/>
                <w:sz w:val="19"/>
                <w:szCs w:val="19"/>
              </w:rPr>
              <w:t xml:space="preserve">Custom SDK Stack</w:t>
            </w:r>
          </w:p>
        </w:tc>
        <w:tc>
          <w:tcPr>
            <w:tcW w:type="dxa" w:w="240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rFonts w:ascii="Arial" w:cs="Arial" w:eastAsia="Arial" w:hAnsi="Arial"/>
                <w:b/>
                <w:bCs/>
                <w:color w:val="FFFFFF"/>
                <w:sz w:val="19"/>
                <w:szCs w:val="19"/>
              </w:rPr>
              <w:t xml:space="preserve">No-Code ESRI Tools</w:t>
            </w:r>
          </w:p>
        </w:tc>
        <w:tc>
          <w:tcPr>
            <w:tcW w:type="dxa" w:w="1920"/>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pPr>
              <w:jc w:val="center"/>
            </w:pPr>
            <w:r>
              <w:rPr>
                <w:rFonts w:ascii="Arial" w:cs="Arial" w:eastAsia="Arial" w:hAnsi="Arial"/>
                <w:b/>
                <w:bCs/>
                <w:color w:val="FFFFFF"/>
                <w:sz w:val="19"/>
                <w:szCs w:val="19"/>
              </w:rPr>
              <w:t xml:space="preserve">Verdict</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Data Residency</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All feature data remains in AGOL. Only schema metadata sent to AI.</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All feature data remains in AGOL.</w:t>
            </w:r>
          </w:p>
        </w:tc>
        <w:tc>
          <w:tcPr>
            <w:tcW w:type="dxa" w:w="1560"/>
            <w:tcBorders>
              <w:top w:val="single" w:color="CCCCCC" w:sz="1"/>
              <w:left w:val="single" w:color="CCCCCC" w:sz="1"/>
              <w:bottom w:val="single" w:color="CCCCCC" w:sz="1"/>
              <w:right w:val="single" w:color="CCCCCC" w:sz="1"/>
            </w:tcBorders>
            <w:shd w:fill="E8F0F7" w:val="clear"/>
            <w:tcMar>
              <w:top w:type="dxa" w:w="100"/>
              <w:left w:type="dxa" w:w="120"/>
              <w:bottom w:type="dxa" w:w="100"/>
              <w:right w:type="dxa" w:w="120"/>
            </w:tcMar>
          </w:tcPr>
          <w:p>
            <w:pPr>
              <w:jc w:val="center"/>
            </w:pPr>
            <w:r>
              <w:rPr>
                <w:rFonts w:ascii="Arial" w:cs="Arial" w:eastAsia="Arial" w:hAnsi="Arial"/>
                <w:b/>
                <w:bCs/>
                <w:color w:val="1565C0"/>
                <w:sz w:val="18"/>
                <w:szCs w:val="18"/>
              </w:rPr>
              <w:t xml:space="preserve">SAME</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Authentication</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ESRI OAuth 2.0 — identical implementation to ESRI native tools.</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ESRI OAuth 2.0 managed by ESRI.</w:t>
            </w:r>
          </w:p>
        </w:tc>
        <w:tc>
          <w:tcPr>
            <w:tcW w:type="dxa" w:w="1560"/>
            <w:tcBorders>
              <w:top w:val="single" w:color="CCCCCC" w:sz="1"/>
              <w:left w:val="single" w:color="CCCCCC" w:sz="1"/>
              <w:bottom w:val="single" w:color="CCCCCC" w:sz="1"/>
              <w:right w:val="single" w:color="CCCCCC" w:sz="1"/>
            </w:tcBorders>
            <w:shd w:fill="E8F0F7" w:val="clear"/>
            <w:tcMar>
              <w:top w:type="dxa" w:w="100"/>
              <w:left w:type="dxa" w:w="120"/>
              <w:bottom w:type="dxa" w:w="100"/>
              <w:right w:type="dxa" w:w="120"/>
            </w:tcMar>
          </w:tcPr>
          <w:p>
            <w:pPr>
              <w:jc w:val="center"/>
            </w:pPr>
            <w:r>
              <w:rPr>
                <w:rFonts w:ascii="Arial" w:cs="Arial" w:eastAsia="Arial" w:hAnsi="Arial"/>
                <w:b/>
                <w:bCs/>
                <w:color w:val="1565C0"/>
                <w:sz w:val="18"/>
                <w:szCs w:val="18"/>
              </w:rPr>
              <w:t xml:space="preserve">SAME</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Code Auditability</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Full source code in GitHub. Every data call is visible and reviewable.</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Black box. No source access. Cannot audit ESRI's code.</w:t>
            </w:r>
          </w:p>
        </w:tc>
        <w:tc>
          <w:tcPr>
            <w:tcW w:type="dxa" w:w="1560"/>
            <w:tcBorders>
              <w:top w:val="single" w:color="CCCCCC" w:sz="1"/>
              <w:left w:val="single" w:color="CCCCCC" w:sz="1"/>
              <w:bottom w:val="single" w:color="CCCCCC" w:sz="1"/>
              <w:right w:val="single" w:color="CCCCCC" w:sz="1"/>
            </w:tcBorders>
            <w:shd w:fill="FFEBEE" w:val="clear"/>
            <w:tcMar>
              <w:top w:type="dxa" w:w="100"/>
              <w:left w:type="dxa" w:w="120"/>
              <w:bottom w:type="dxa" w:w="100"/>
              <w:right w:type="dxa" w:w="120"/>
            </w:tcMar>
          </w:tcPr>
          <w:p>
            <w:pPr>
              <w:jc w:val="center"/>
            </w:pPr>
            <w:r>
              <w:rPr>
                <w:rFonts w:ascii="Arial" w:cs="Arial" w:eastAsia="Arial" w:hAnsi="Arial"/>
                <w:b/>
                <w:bCs/>
                <w:color w:val="1A1A2E"/>
                <w:sz w:val="18"/>
                <w:szCs w:val="18"/>
              </w:rPr>
              <w:t xml:space="preserve">LOWER RISK</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Credential Exposure</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API keys in Vercel server-side env vars. Never client-exposed.</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No developer credentials to manage.</w:t>
            </w:r>
          </w:p>
        </w:tc>
        <w:tc>
          <w:tcPr>
            <w:tcW w:type="dxa" w:w="1560"/>
            <w:tcBorders>
              <w:top w:val="single" w:color="CCCCCC" w:sz="1"/>
              <w:left w:val="single" w:color="CCCCCC" w:sz="1"/>
              <w:bottom w:val="single" w:color="CCCCCC" w:sz="1"/>
              <w:right w:val="single" w:color="CCCCCC" w:sz="1"/>
            </w:tcBorders>
            <w:shd w:fill="FFEBEE" w:val="clear"/>
            <w:tcMar>
              <w:top w:type="dxa" w:w="100"/>
              <w:left w:type="dxa" w:w="120"/>
              <w:bottom w:type="dxa" w:w="100"/>
              <w:right w:type="dxa" w:w="120"/>
            </w:tcMar>
          </w:tcPr>
          <w:p>
            <w:pPr>
              <w:jc w:val="center"/>
            </w:pPr>
            <w:r>
              <w:rPr>
                <w:rFonts w:ascii="Arial" w:cs="Arial" w:eastAsia="Arial" w:hAnsi="Arial"/>
                <w:b/>
                <w:bCs/>
                <w:color w:val="1A1A2E"/>
                <w:sz w:val="18"/>
                <w:szCs w:val="18"/>
              </w:rPr>
              <w:t xml:space="preserve">MANAGEABLE</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Dependency Vulnerabilities</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npm audit identifies issues. Developer responsible for patching.</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ESRI patches. No developer action required.</w:t>
            </w:r>
          </w:p>
        </w:tc>
        <w:tc>
          <w:tcPr>
            <w:tcW w:type="dxa" w:w="1560"/>
            <w:tcBorders>
              <w:top w:val="single" w:color="CCCCCC" w:sz="1"/>
              <w:left w:val="single" w:color="CCCCCC" w:sz="1"/>
              <w:bottom w:val="single" w:color="CCCCCC" w:sz="1"/>
              <w:right w:val="single" w:color="CCCCCC" w:sz="1"/>
            </w:tcBorders>
            <w:shd w:fill="FFEBEE" w:val="clear"/>
            <w:tcMar>
              <w:top w:type="dxa" w:w="100"/>
              <w:left w:type="dxa" w:w="120"/>
              <w:bottom w:type="dxa" w:w="100"/>
              <w:right w:type="dxa" w:w="120"/>
            </w:tcMar>
          </w:tcPr>
          <w:p>
            <w:pPr>
              <w:jc w:val="center"/>
            </w:pPr>
            <w:r>
              <w:rPr>
                <w:rFonts w:ascii="Arial" w:cs="Arial" w:eastAsia="Arial" w:hAnsi="Arial"/>
                <w:b/>
                <w:bCs/>
                <w:color w:val="1A1A2E"/>
                <w:sz w:val="18"/>
                <w:szCs w:val="18"/>
              </w:rPr>
              <w:t xml:space="preserve">ESRI WINS</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Cloud Data Exposure</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Vercel SOC 2 Type II. Data queries go to AGOL only.</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ESRI cloud (also SOC 2). Same AGOL data exposure profile.</w:t>
            </w:r>
          </w:p>
        </w:tc>
        <w:tc>
          <w:tcPr>
            <w:tcW w:type="dxa" w:w="1560"/>
            <w:tcBorders>
              <w:top w:val="single" w:color="CCCCCC" w:sz="1"/>
              <w:left w:val="single" w:color="CCCCCC" w:sz="1"/>
              <w:bottom w:val="single" w:color="CCCCCC" w:sz="1"/>
              <w:right w:val="single" w:color="CCCCCC" w:sz="1"/>
            </w:tcBorders>
            <w:shd w:fill="E8F0F7" w:val="clear"/>
            <w:tcMar>
              <w:top w:type="dxa" w:w="100"/>
              <w:left w:type="dxa" w:w="120"/>
              <w:bottom w:type="dxa" w:w="100"/>
              <w:right w:type="dxa" w:w="120"/>
            </w:tcMar>
          </w:tcPr>
          <w:p>
            <w:pPr>
              <w:jc w:val="center"/>
            </w:pPr>
            <w:r>
              <w:rPr>
                <w:rFonts w:ascii="Arial" w:cs="Arial" w:eastAsia="Arial" w:hAnsi="Arial"/>
                <w:b/>
                <w:bCs/>
                <w:color w:val="1565C0"/>
                <w:sz w:val="18"/>
                <w:szCs w:val="18"/>
              </w:rPr>
              <w:t xml:space="preserve">SAME</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AI Data Leakage</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Mitigated: only field names sent to Claude, never feature data.</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No AI component in standard tools.</w:t>
            </w:r>
          </w:p>
        </w:tc>
        <w:tc>
          <w:tcPr>
            <w:tcW w:type="dxa" w:w="1560"/>
            <w:tcBorders>
              <w:top w:val="single" w:color="CCCCCC" w:sz="1"/>
              <w:left w:val="single" w:color="CCCCCC" w:sz="1"/>
              <w:bottom w:val="single" w:color="CCCCCC" w:sz="1"/>
              <w:right w:val="single" w:color="CCCCCC" w:sz="1"/>
            </w:tcBorders>
            <w:shd w:fill="FFEBEE" w:val="clear"/>
            <w:tcMar>
              <w:top w:type="dxa" w:w="100"/>
              <w:left w:type="dxa" w:w="120"/>
              <w:bottom w:type="dxa" w:w="100"/>
              <w:right w:type="dxa" w:w="120"/>
            </w:tcMar>
          </w:tcPr>
          <w:p>
            <w:pPr>
              <w:jc w:val="center"/>
            </w:pPr>
            <w:r>
              <w:rPr>
                <w:rFonts w:ascii="Arial" w:cs="Arial" w:eastAsia="Arial" w:hAnsi="Arial"/>
                <w:b/>
                <w:bCs/>
                <w:color w:val="1A1A2E"/>
                <w:sz w:val="18"/>
                <w:szCs w:val="18"/>
              </w:rPr>
              <w:t xml:space="preserve">MANAGEABLE</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Uptime / SLA</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Vercel 99.99% SLA. Developer responsible for application code.</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ESRI manages uptime for their tools.</w:t>
            </w:r>
          </w:p>
        </w:tc>
        <w:tc>
          <w:tcPr>
            <w:tcW w:type="dxa" w:w="1560"/>
            <w:tcBorders>
              <w:top w:val="single" w:color="CCCCCC" w:sz="1"/>
              <w:left w:val="single" w:color="CCCCCC" w:sz="1"/>
              <w:bottom w:val="single" w:color="CCCCCC" w:sz="1"/>
              <w:right w:val="single" w:color="CCCCCC" w:sz="1"/>
            </w:tcBorders>
            <w:shd w:fill="FFEBEE" w:val="clear"/>
            <w:tcMar>
              <w:top w:type="dxa" w:w="100"/>
              <w:left w:type="dxa" w:w="120"/>
              <w:bottom w:type="dxa" w:w="100"/>
              <w:right w:type="dxa" w:w="120"/>
            </w:tcMar>
          </w:tcPr>
          <w:p>
            <w:pPr>
              <w:jc w:val="center"/>
            </w:pPr>
            <w:r>
              <w:rPr>
                <w:rFonts w:ascii="Arial" w:cs="Arial" w:eastAsia="Arial" w:hAnsi="Arial"/>
                <w:b/>
                <w:bCs/>
                <w:color w:val="1A1A2E"/>
                <w:sz w:val="18"/>
                <w:szCs w:val="18"/>
              </w:rPr>
              <w:t xml:space="preserve">ESRI WINS</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Vendor Lock-in</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Framework-agnostic. Can migrate host. Open standards throughout.</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Fully locked to ESRI toolchain and pricing.</w:t>
            </w:r>
          </w:p>
        </w:tc>
        <w:tc>
          <w:tcPr>
            <w:tcW w:type="dxa" w:w="1560"/>
            <w:tcBorders>
              <w:top w:val="single" w:color="CCCCCC" w:sz="1"/>
              <w:left w:val="single" w:color="CCCCCC" w:sz="1"/>
              <w:bottom w:val="single" w:color="CCCCCC" w:sz="1"/>
              <w:right w:val="single" w:color="CCCCCC" w:sz="1"/>
            </w:tcBorders>
            <w:shd w:fill="FFEBEE" w:val="clear"/>
            <w:tcMar>
              <w:top w:type="dxa" w:w="100"/>
              <w:left w:type="dxa" w:w="120"/>
              <w:bottom w:type="dxa" w:w="100"/>
              <w:right w:type="dxa" w:w="120"/>
            </w:tcMar>
          </w:tcPr>
          <w:p>
            <w:pPr>
              <w:jc w:val="center"/>
            </w:pPr>
            <w:r>
              <w:rPr>
                <w:rFonts w:ascii="Arial" w:cs="Arial" w:eastAsia="Arial" w:hAnsi="Arial"/>
                <w:b/>
                <w:bCs/>
                <w:color w:val="1A1A2E"/>
                <w:sz w:val="18"/>
                <w:szCs w:val="18"/>
              </w:rPr>
              <w:t xml:space="preserve">LOWER RISK</w:t>
            </w:r>
          </w:p>
        </w:tc>
      </w:tr>
      <w:tr>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b/>
                <w:bCs/>
                <w:sz w:val="19"/>
                <w:szCs w:val="19"/>
              </w:rPr>
              <w:t xml:space="preserve">Access Control</w:t>
            </w:r>
          </w:p>
        </w:tc>
        <w:tc>
          <w:tcPr>
            <w:tcW w:type="dxa" w:w="30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Inherits AGOL user permissions. No separate access model needed.</w:t>
            </w:r>
          </w:p>
        </w:tc>
        <w:tc>
          <w:tcPr>
            <w:tcW w:type="dxa" w:w="2400"/>
            <w:tcBorders>
              <w:top w:val="single" w:color="CCCCCC" w:sz="1"/>
              <w:left w:val="single" w:color="CCCCCC" w:sz="1"/>
              <w:bottom w:val="single" w:color="CCCCCC" w:sz="1"/>
              <w:right w:val="single" w:color="CCCCCC" w:sz="1"/>
            </w:tcBorders>
            <w:tcMar>
              <w:top w:type="dxa" w:w="100"/>
              <w:left w:type="dxa" w:w="120"/>
              <w:bottom w:type="dxa" w:w="100"/>
              <w:right w:type="dxa" w:w="120"/>
            </w:tcMar>
          </w:tcPr>
          <w:p>
            <w:r>
              <w:rPr>
                <w:rFonts w:ascii="Arial" w:cs="Arial" w:eastAsia="Arial" w:hAnsi="Arial"/>
                <w:sz w:val="18"/>
                <w:szCs w:val="18"/>
              </w:rPr>
              <w:t xml:space="preserve">Same — inherits AGOL permissions.</w:t>
            </w:r>
          </w:p>
        </w:tc>
        <w:tc>
          <w:tcPr>
            <w:tcW w:type="dxa" w:w="1560"/>
            <w:tcBorders>
              <w:top w:val="single" w:color="CCCCCC" w:sz="1"/>
              <w:left w:val="single" w:color="CCCCCC" w:sz="1"/>
              <w:bottom w:val="single" w:color="CCCCCC" w:sz="1"/>
              <w:right w:val="single" w:color="CCCCCC" w:sz="1"/>
            </w:tcBorders>
            <w:shd w:fill="E8F0F7" w:val="clear"/>
            <w:tcMar>
              <w:top w:type="dxa" w:w="100"/>
              <w:left w:type="dxa" w:w="120"/>
              <w:bottom w:type="dxa" w:w="100"/>
              <w:right w:type="dxa" w:w="120"/>
            </w:tcMar>
          </w:tcPr>
          <w:p>
            <w:pPr>
              <w:jc w:val="center"/>
            </w:pPr>
            <w:r>
              <w:rPr>
                <w:rFonts w:ascii="Arial" w:cs="Arial" w:eastAsia="Arial" w:hAnsi="Arial"/>
                <w:b/>
                <w:bCs/>
                <w:color w:val="1565C0"/>
                <w:sz w:val="18"/>
                <w:szCs w:val="18"/>
              </w:rPr>
              <w:t xml:space="preserve">SAME</w:t>
            </w:r>
          </w:p>
        </w:tc>
      </w:tr>
    </w:tbl>
    <w:p>
      <w:pPr>
        <w:spacing w:before="80" w:after="80"/>
      </w:pPr>
      <w:r>
        <w:t xml:space="preserve"/>
      </w:r>
    </w:p>
    <w:p>
      <w:pPr>
        <w:pStyle w:val="Heading1"/>
        <w:pBdr>
          <w:bottom w:val="single" w:color="CC0000" w:sz="6" w:space="4"/>
        </w:pBdr>
        <w:spacing w:before="360" w:after="120"/>
      </w:pPr>
      <w:r>
        <w:rPr>
          <w:rFonts w:ascii="Arial" w:cs="Arial" w:eastAsia="Arial" w:hAnsi="Arial"/>
          <w:b/>
          <w:bCs/>
          <w:color w:val="1A1A2E"/>
          <w:sz w:val="28"/>
          <w:szCs w:val="28"/>
        </w:rPr>
        <w:t xml:space="preserve">4. Specific IT Objections — Response Framework</w:t>
      </w:r>
    </w:p>
    <w:p>
      <w:pPr>
        <w:spacing w:before="80" w:after="80"/>
      </w:pPr>
      <w:r>
        <w:rPr>
          <w:rFonts w:ascii="Arial" w:cs="Arial" w:eastAsia="Arial" w:hAnsi="Arial"/>
          <w:sz w:val="20"/>
          <w:szCs w:val="20"/>
        </w:rPr>
        <w:t xml:space="preserve">The following addresses anticipated IT objections with factual responses:</w:t>
      </w:r>
    </w:p>
    <w:p>
      <w:pPr>
        <w:spacing w:before="80" w:after="80"/>
      </w:pPr>
      <w:r>
        <w:t xml:space="preserve"/>
      </w:r>
    </w:p>
    <w:p>
      <w:pPr>
        <w:pStyle w:val="Heading2"/>
        <w:spacing w:before="280" w:after="100"/>
      </w:pPr>
      <w:r>
        <w:rPr>
          <w:rFonts w:ascii="Arial" w:cs="Arial" w:eastAsia="Arial" w:hAnsi="Arial"/>
          <w:b/>
          <w:bCs/>
          <w:color w:val="CC0000"/>
          <w:sz w:val="24"/>
          <w:szCs w:val="24"/>
        </w:rPr>
        <w:t xml:space="preserve">Objection: "You're not using approved software"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180"/>
              <w:bottom w:type="dxa" w:w="120"/>
              <w:right w:type="dxa" w:w="180"/>
            </w:tcMar>
          </w:tcPr>
          <w:p>
            <w:pPr>
              <w:spacing w:before="40" w:after="40"/>
            </w:pPr>
            <w:r>
              <w:rPr>
                <w:rFonts w:ascii="Arial" w:cs="Arial" w:eastAsia="Arial" w:hAnsi="Arial"/>
                <w:b/>
                <w:bCs/>
                <w:color w:val="1A1A2E"/>
                <w:sz w:val="18"/>
                <w:szCs w:val="18"/>
              </w:rPr>
              <w:t xml:space="preserve">RESPONSE</w:t>
            </w:r>
          </w:p>
          <w:p>
            <w:pPr>
              <w:spacing w:before="40" w:after="40"/>
            </w:pPr>
            <w:r>
              <w:rPr>
                <w:rFonts w:ascii="Arial" w:cs="Arial" w:eastAsia="Arial" w:hAnsi="Arial"/>
                <w:sz w:val="20"/>
                <w:szCs w:val="20"/>
              </w:rPr>
              <w:t xml:space="preserve">@arcgis/core is ESRI's official, supported npm package — the identical SDK powering Experience Builder. Using it directly is equivalent to using ESRI's own tools at a lower level of abstraction. This is not a third-party or unsanctioned GIS library.</w:t>
            </w:r>
          </w:p>
        </w:tc>
      </w:tr>
    </w:tbl>
    <w:p>
      <w:pPr>
        <w:spacing w:before="80" w:after="80"/>
      </w:pPr>
      <w:r>
        <w:t xml:space="preserve"/>
      </w:r>
    </w:p>
    <w:p>
      <w:pPr>
        <w:pStyle w:val="Heading2"/>
        <w:spacing w:before="280" w:after="100"/>
      </w:pPr>
      <w:r>
        <w:rPr>
          <w:rFonts w:ascii="Arial" w:cs="Arial" w:eastAsia="Arial" w:hAnsi="Arial"/>
          <w:b/>
          <w:bCs/>
          <w:color w:val="CC0000"/>
          <w:sz w:val="24"/>
          <w:szCs w:val="24"/>
        </w:rPr>
        <w:t xml:space="preserve">Objection: "We can't audit your code"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180"/>
              <w:bottom w:type="dxa" w:w="120"/>
              <w:right w:type="dxa" w:w="180"/>
            </w:tcMar>
          </w:tcPr>
          <w:p>
            <w:pPr>
              <w:spacing w:before="40" w:after="40"/>
            </w:pPr>
            <w:r>
              <w:rPr>
                <w:rFonts w:ascii="Arial" w:cs="Arial" w:eastAsia="Arial" w:hAnsi="Arial"/>
                <w:b/>
                <w:bCs/>
                <w:color w:val="1A1A2E"/>
                <w:sz w:val="18"/>
                <w:szCs w:val="18"/>
              </w:rPr>
              <w:t xml:space="preserve">RESPONSE</w:t>
            </w:r>
          </w:p>
          <w:p>
            <w:pPr>
              <w:spacing w:before="40" w:after="40"/>
            </w:pPr>
            <w:r>
              <w:rPr>
                <w:rFonts w:ascii="Arial" w:cs="Arial" w:eastAsia="Arial" w:hAnsi="Arial"/>
                <w:sz w:val="20"/>
                <w:szCs w:val="20"/>
              </w:rPr>
              <w:t xml:space="preserve">The custom application code is fully hosted in a Red Cross GitHub repository and can be reviewed by IT at any time. By contrast, Experience Builder and Dashboards are proprietary ESRI software — IT cannot audit those either. The custom approach is more transparent, not less.</w:t>
            </w:r>
          </w:p>
        </w:tc>
      </w:tr>
    </w:tbl>
    <w:p>
      <w:pPr>
        <w:spacing w:before="80" w:after="80"/>
      </w:pPr>
      <w:r>
        <w:t xml:space="preserve"/>
      </w:r>
    </w:p>
    <w:p>
      <w:pPr>
        <w:pStyle w:val="Heading2"/>
        <w:spacing w:before="280" w:after="100"/>
      </w:pPr>
      <w:r>
        <w:rPr>
          <w:rFonts w:ascii="Arial" w:cs="Arial" w:eastAsia="Arial" w:hAnsi="Arial"/>
          <w:b/>
          <w:bCs/>
          <w:color w:val="CC0000"/>
          <w:sz w:val="24"/>
          <w:szCs w:val="24"/>
        </w:rPr>
        <w:t xml:space="preserve">Objection: "Vercel isn't an approved host"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180"/>
              <w:bottom w:type="dxa" w:w="120"/>
              <w:right w:type="dxa" w:w="180"/>
            </w:tcMar>
          </w:tcPr>
          <w:p>
            <w:pPr>
              <w:spacing w:before="40" w:after="40"/>
            </w:pPr>
            <w:r>
              <w:rPr>
                <w:rFonts w:ascii="Arial" w:cs="Arial" w:eastAsia="Arial" w:hAnsi="Arial"/>
                <w:b/>
                <w:bCs/>
                <w:color w:val="1A1A2E"/>
                <w:sz w:val="18"/>
                <w:szCs w:val="18"/>
              </w:rPr>
              <w:t xml:space="preserve">RESPONSE</w:t>
            </w:r>
          </w:p>
          <w:p>
            <w:pPr>
              <w:spacing w:before="40" w:after="40"/>
            </w:pPr>
            <w:r>
              <w:rPr>
                <w:rFonts w:ascii="Arial" w:cs="Arial" w:eastAsia="Arial" w:hAnsi="Arial"/>
                <w:sz w:val="20"/>
                <w:szCs w:val="20"/>
              </w:rPr>
              <w:t xml:space="preserve">Vercel holds SOC 2 Type II certification, the same compliance standard used to approve AWS, Azure, and Microsoft 365. If the concern is a specific compliance framework (FedRAMP, HIPAA, etc.), Vercel's compliance documentation can be reviewed against that specific requirement. Alternatively, the same Next.js application deploys without code changes to AWS Amplify or Azure Static Web Apps.</w:t>
            </w:r>
          </w:p>
        </w:tc>
      </w:tr>
    </w:tbl>
    <w:p>
      <w:pPr>
        <w:spacing w:before="80" w:after="80"/>
      </w:pPr>
      <w:r>
        <w:t xml:space="preserve"/>
      </w:r>
    </w:p>
    <w:p>
      <w:pPr>
        <w:pStyle w:val="Heading2"/>
        <w:spacing w:before="280" w:after="100"/>
      </w:pPr>
      <w:r>
        <w:rPr>
          <w:rFonts w:ascii="Arial" w:cs="Arial" w:eastAsia="Arial" w:hAnsi="Arial"/>
          <w:b/>
          <w:bCs/>
          <w:color w:val="CC0000"/>
          <w:sz w:val="24"/>
          <w:szCs w:val="24"/>
        </w:rPr>
        <w:t xml:space="preserve">Objection: "Sending data to Anthropic is a data governance violation"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180"/>
              <w:bottom w:type="dxa" w:w="120"/>
              <w:right w:type="dxa" w:w="180"/>
            </w:tcMar>
          </w:tcPr>
          <w:p>
            <w:pPr>
              <w:spacing w:before="40" w:after="40"/>
            </w:pPr>
            <w:r>
              <w:rPr>
                <w:rFonts w:ascii="Arial" w:cs="Arial" w:eastAsia="Arial" w:hAnsi="Arial"/>
                <w:b/>
                <w:bCs/>
                <w:color w:val="1A1A2E"/>
                <w:sz w:val="18"/>
                <w:szCs w:val="18"/>
              </w:rPr>
              <w:t xml:space="preserve">RESPONSE</w:t>
            </w:r>
          </w:p>
          <w:p>
            <w:pPr>
              <w:spacing w:before="40" w:after="40"/>
            </w:pPr>
            <w:r>
              <w:rPr>
                <w:rFonts w:ascii="Arial" w:cs="Arial" w:eastAsia="Arial" w:hAnsi="Arial"/>
                <w:sz w:val="20"/>
                <w:szCs w:val="20"/>
              </w:rPr>
              <w:t xml:space="preserve">No operational data is sent to Anthropic. The Claude API receives only: (1) layer field names, which are structural metadata equivalent to a database schema, and (2) the user's natural language query text. The actual feature records — shelter locations, occupancy numbers, personnel data — never leave ArcGIS Online. This is architecturally enforced, not policy-dependent.</w:t>
            </w:r>
          </w:p>
        </w:tc>
      </w:tr>
    </w:tbl>
    <w:p>
      <w:pPr>
        <w:spacing w:before="80" w:after="80"/>
      </w:pPr>
      <w:r>
        <w:t xml:space="preserve"/>
      </w:r>
    </w:p>
    <w:p>
      <w:pPr>
        <w:pStyle w:val="Heading2"/>
        <w:spacing w:before="280" w:after="100"/>
      </w:pPr>
      <w:r>
        <w:rPr>
          <w:rFonts w:ascii="Arial" w:cs="Arial" w:eastAsia="Arial" w:hAnsi="Arial"/>
          <w:b/>
          <w:bCs/>
          <w:color w:val="CC0000"/>
          <w:sz w:val="24"/>
          <w:szCs w:val="24"/>
        </w:rPr>
        <w:t xml:space="preserve">Objection: "Your app could corrupt or breach AGOL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0F7" w:val="clear"/>
            <w:tcMar>
              <w:top w:type="dxa" w:w="120"/>
              <w:left w:type="dxa" w:w="180"/>
              <w:bottom w:type="dxa" w:w="120"/>
              <w:right w:type="dxa" w:w="180"/>
            </w:tcMar>
          </w:tcPr>
          <w:p>
            <w:pPr>
              <w:spacing w:before="40" w:after="40"/>
            </w:pPr>
            <w:r>
              <w:rPr>
                <w:rFonts w:ascii="Arial" w:cs="Arial" w:eastAsia="Arial" w:hAnsi="Arial"/>
                <w:b/>
                <w:bCs/>
                <w:color w:val="1A1A2E"/>
                <w:sz w:val="18"/>
                <w:szCs w:val="18"/>
              </w:rPr>
              <w:t xml:space="preserve">RESPONSE</w:t>
            </w:r>
          </w:p>
          <w:p>
            <w:pPr>
              <w:spacing w:before="40" w:after="40"/>
            </w:pPr>
            <w:r>
              <w:rPr>
                <w:rFonts w:ascii="Arial" w:cs="Arial" w:eastAsia="Arial" w:hAnsi="Arial"/>
                <w:sz w:val="20"/>
                <w:szCs w:val="20"/>
              </w:rPr>
              <w:t xml:space="preserve">The application uses read-only Feature Layer queries. It has no write access to any AGOL dataset unless explicitly provisioned by an AGOL administrator — the same provisioning required for any ESRI tool. A user opening this application has exactly the same AGOL permissions they have when opening a Dashboard.</w:t>
            </w:r>
          </w:p>
        </w:tc>
      </w:tr>
    </w:tbl>
    <w:p>
      <w:pPr>
        <w:spacing w:before="80" w:after="80"/>
      </w:pPr>
      <w:r>
        <w:t xml:space="preserve"/>
      </w:r>
    </w:p>
    <w:p>
      <w:pPr>
        <w:pStyle w:val="Heading1"/>
        <w:pBdr>
          <w:bottom w:val="single" w:color="CC0000" w:sz="6" w:space="4"/>
        </w:pBdr>
        <w:spacing w:before="360" w:after="120"/>
      </w:pPr>
      <w:r>
        <w:rPr>
          <w:rFonts w:ascii="Arial" w:cs="Arial" w:eastAsia="Arial" w:hAnsi="Arial"/>
          <w:b/>
          <w:bCs/>
          <w:color w:val="1A1A2E"/>
          <w:sz w:val="28"/>
          <w:szCs w:val="28"/>
        </w:rPr>
        <w:t xml:space="preserve">5. Risk Mitigations in Place</w:t>
      </w:r>
    </w:p>
    <w:p>
      <w:pPr>
        <w:spacing w:before="80" w:after="80"/>
      </w:pPr>
      <w:r>
        <w:rPr>
          <w:rFonts w:ascii="Arial" w:cs="Arial" w:eastAsia="Arial" w:hAnsi="Arial"/>
          <w:sz w:val="20"/>
          <w:szCs w:val="20"/>
        </w:rPr>
        <w:t xml:space="preserve">The following controls are implemented in the current architecture:</w:t>
      </w:r>
    </w:p>
    <w:p>
      <w:pPr>
        <w:spacing w:before="80" w:after="80"/>
      </w:pPr>
      <w:r>
        <w:t xml:space="preserve"/>
      </w:r>
    </w:p>
    <w:p>
      <w:pPr>
        <w:pStyle w:val="ListParagraph"/>
        <w:numPr>
          <w:ilvl w:val="0"/>
          <w:numId w:val="2"/>
        </w:numPr>
        <w:spacing w:before="60" w:after="60"/>
      </w:pPr>
      <w:r>
        <w:rPr>
          <w:rFonts w:ascii="Arial" w:cs="Arial" w:eastAsia="Arial" w:hAnsi="Arial"/>
          <w:b/>
          <w:bCs/>
          <w:sz w:val="20"/>
          <w:szCs w:val="20"/>
        </w:rPr>
        <w:t xml:space="preserve">All API keys (Anthropic, AGOL client secret) stored as server-side Vercel environment variables — never in client-facing code</w:t>
      </w:r>
    </w:p>
    <w:p>
      <w:pPr>
        <w:pStyle w:val="ListParagraph"/>
        <w:numPr>
          <w:ilvl w:val="0"/>
          <w:numId w:val="2"/>
        </w:numPr>
        <w:spacing w:before="60" w:after="60"/>
      </w:pPr>
      <w:r>
        <w:rPr>
          <w:rFonts w:ascii="Arial" w:cs="Arial" w:eastAsia="Arial" w:hAnsi="Arial"/>
          <w:b w:val="false"/>
          <w:bCs w:val="false"/>
          <w:sz w:val="20"/>
          <w:szCs w:val="20"/>
        </w:rPr>
        <w:t xml:space="preserve">AGOL OAuth redirect URI registered to exact production domain — no wildcards</w:t>
      </w:r>
    </w:p>
    <w:p>
      <w:pPr>
        <w:pStyle w:val="ListParagraph"/>
        <w:numPr>
          <w:ilvl w:val="0"/>
          <w:numId w:val="2"/>
        </w:numPr>
        <w:spacing w:before="60" w:after="60"/>
      </w:pPr>
      <w:r>
        <w:rPr>
          <w:rFonts w:ascii="Arial" w:cs="Arial" w:eastAsia="Arial" w:hAnsi="Arial"/>
          <w:b w:val="false"/>
          <w:bCs w:val="false"/>
          <w:sz w:val="20"/>
          <w:szCs w:val="20"/>
        </w:rPr>
        <w:t xml:space="preserve">Claude API prompts contain only layer schema metadata — feature data access is architecturally impossible from the AI call path</w:t>
      </w:r>
    </w:p>
    <w:p>
      <w:pPr>
        <w:pStyle w:val="ListParagraph"/>
        <w:numPr>
          <w:ilvl w:val="0"/>
          <w:numId w:val="2"/>
        </w:numPr>
        <w:spacing w:before="60" w:after="60"/>
      </w:pPr>
      <w:r>
        <w:rPr>
          <w:rFonts w:ascii="Arial" w:cs="Arial" w:eastAsia="Arial" w:hAnsi="Arial"/>
          <w:b w:val="false"/>
          <w:bCs w:val="false"/>
          <w:sz w:val="20"/>
          <w:szCs w:val="20"/>
        </w:rPr>
        <w:t xml:space="preserve">Application deployed to Vercel with HTTPS enforced — no plaintext data transmission</w:t>
      </w:r>
    </w:p>
    <w:p>
      <w:pPr>
        <w:pStyle w:val="ListParagraph"/>
        <w:numPr>
          <w:ilvl w:val="0"/>
          <w:numId w:val="2"/>
        </w:numPr>
        <w:spacing w:before="60" w:after="60"/>
      </w:pPr>
      <w:r>
        <w:rPr>
          <w:rFonts w:ascii="Arial" w:cs="Arial" w:eastAsia="Arial" w:hAnsi="Arial"/>
          <w:b w:val="false"/>
          <w:bCs w:val="false"/>
          <w:sz w:val="20"/>
          <w:szCs w:val="20"/>
        </w:rPr>
        <w:t xml:space="preserve">Source code maintained in Red Cross GitHub with commit history and access controls</w:t>
      </w:r>
    </w:p>
    <w:p>
      <w:pPr>
        <w:pStyle w:val="ListParagraph"/>
        <w:numPr>
          <w:ilvl w:val="0"/>
          <w:numId w:val="2"/>
        </w:numPr>
        <w:spacing w:before="60" w:after="60"/>
      </w:pPr>
      <w:r>
        <w:rPr>
          <w:rFonts w:ascii="Arial" w:cs="Arial" w:eastAsia="Arial" w:hAnsi="Arial"/>
          <w:b w:val="false"/>
          <w:bCs w:val="false"/>
          <w:sz w:val="20"/>
          <w:szCs w:val="20"/>
        </w:rPr>
        <w:t xml:space="preserve">npm audit integrated into build process — dependency vulnerabilities flagged before deployment</w:t>
      </w:r>
    </w:p>
    <w:p>
      <w:pPr>
        <w:spacing w:before="80" w:after="80"/>
      </w:pPr>
      <w:r>
        <w:t xml:space="preserve"/>
      </w:r>
    </w:p>
    <w:p>
      <w:pPr>
        <w:pStyle w:val="Heading1"/>
        <w:pBdr>
          <w:bottom w:val="single" w:color="CC0000" w:sz="6" w:space="4"/>
        </w:pBdr>
        <w:spacing w:before="360" w:after="120"/>
      </w:pPr>
      <w:r>
        <w:rPr>
          <w:rFonts w:ascii="Arial" w:cs="Arial" w:eastAsia="Arial" w:hAnsi="Arial"/>
          <w:b/>
          <w:bCs/>
          <w:color w:val="1A1A2E"/>
          <w:sz w:val="28"/>
          <w:szCs w:val="28"/>
        </w:rPr>
        <w:t xml:space="preserve">6. Recommended IT Review Process</w:t>
      </w:r>
    </w:p>
    <w:p>
      <w:pPr>
        <w:spacing w:before="80" w:after="80"/>
      </w:pPr>
      <w:r>
        <w:rPr>
          <w:rFonts w:ascii="Arial" w:cs="Arial" w:eastAsia="Arial" w:hAnsi="Arial"/>
          <w:sz w:val="20"/>
          <w:szCs w:val="20"/>
        </w:rPr>
        <w:t xml:space="preserve">To move from informal deployment to fully IT-sanctioned operation, the following steps are recommended:</w:t>
      </w:r>
    </w:p>
    <w:p>
      <w:pPr>
        <w:spacing w:before="80" w:after="80"/>
      </w:pPr>
      <w:r>
        <w:t xml:space="preserve"/>
      </w:r>
    </w:p>
    <w:p>
      <w:pPr>
        <w:pStyle w:val="ListParagraph"/>
        <w:numPr>
          <w:ilvl w:val="0"/>
          <w:numId w:val="3"/>
        </w:numPr>
        <w:spacing w:before="80" w:after="80"/>
      </w:pPr>
      <w:r>
        <w:rPr>
          <w:rFonts w:ascii="Arial" w:cs="Arial" w:eastAsia="Arial" w:hAnsi="Arial"/>
          <w:sz w:val="20"/>
          <w:szCs w:val="20"/>
        </w:rPr>
        <w:t xml:space="preserve">Code Review — IT or designee reviews GitHub repository. Estimated: 2 hours.</w:t>
      </w:r>
    </w:p>
    <w:p>
      <w:pPr>
        <w:pStyle w:val="ListParagraph"/>
        <w:numPr>
          <w:ilvl w:val="0"/>
          <w:numId w:val="3"/>
        </w:numPr>
        <w:spacing w:before="80" w:after="80"/>
      </w:pPr>
      <w:r>
        <w:rPr>
          <w:rFonts w:ascii="Arial" w:cs="Arial" w:eastAsia="Arial" w:hAnsi="Arial"/>
          <w:sz w:val="20"/>
          <w:szCs w:val="20"/>
        </w:rPr>
        <w:t xml:space="preserve">Vercel Compliance Review — Compare Vercel SOC 2 documentation against Red Cross cloud hosting policy.</w:t>
      </w:r>
    </w:p>
    <w:p>
      <w:pPr>
        <w:pStyle w:val="ListParagraph"/>
        <w:numPr>
          <w:ilvl w:val="0"/>
          <w:numId w:val="3"/>
        </w:numPr>
        <w:spacing w:before="80" w:after="80"/>
      </w:pPr>
      <w:r>
        <w:rPr>
          <w:rFonts w:ascii="Arial" w:cs="Arial" w:eastAsia="Arial" w:hAnsi="Arial"/>
          <w:sz w:val="20"/>
          <w:szCs w:val="20"/>
        </w:rPr>
        <w:t xml:space="preserve">AGOL App Registration Audit — Review OAuth app registration in AGOL org settings. Confirm redirect URI is domain-locked.</w:t>
      </w:r>
    </w:p>
    <w:p>
      <w:pPr>
        <w:pStyle w:val="ListParagraph"/>
        <w:numPr>
          <w:ilvl w:val="0"/>
          <w:numId w:val="3"/>
        </w:numPr>
        <w:spacing w:before="80" w:after="80"/>
      </w:pPr>
      <w:r>
        <w:rPr>
          <w:rFonts w:ascii="Arial" w:cs="Arial" w:eastAsia="Arial" w:hAnsi="Arial"/>
          <w:sz w:val="20"/>
          <w:szCs w:val="20"/>
        </w:rPr>
        <w:t xml:space="preserve">Data Flow Documentation — Developer (Dragon) to provide a written data flow diagram on request.</w:t>
      </w:r>
    </w:p>
    <w:p>
      <w:pPr>
        <w:pStyle w:val="ListParagraph"/>
        <w:numPr>
          <w:ilvl w:val="0"/>
          <w:numId w:val="3"/>
        </w:numPr>
        <w:spacing w:before="80" w:after="80"/>
      </w:pPr>
      <w:r>
        <w:rPr>
          <w:rFonts w:ascii="Arial" w:cs="Arial" w:eastAsia="Arial" w:hAnsi="Arial"/>
          <w:sz w:val="20"/>
          <w:szCs w:val="20"/>
        </w:rPr>
        <w:t xml:space="preserve">Anthropic Data Processing Agreement — Anthropic offers a DPA for enterprise customers. Review against Red Cross data governance policy.</w:t>
      </w:r>
    </w:p>
    <w:p>
      <w:pPr>
        <w:spacing w:before="80" w:after="80"/>
      </w:pPr>
      <w:r>
        <w:t xml:space="preserve"/>
      </w:r>
    </w:p>
    <w:p>
      <w:pPr>
        <w:pStyle w:val="Heading1"/>
        <w:pBdr>
          <w:bottom w:val="single" w:color="CC0000" w:sz="6" w:space="4"/>
        </w:pBdr>
        <w:spacing w:before="360" w:after="120"/>
      </w:pPr>
      <w:r>
        <w:rPr>
          <w:rFonts w:ascii="Arial" w:cs="Arial" w:eastAsia="Arial" w:hAnsi="Arial"/>
          <w:b/>
          <w:bCs/>
          <w:color w:val="1A1A2E"/>
          <w:sz w:val="28"/>
          <w:szCs w:val="28"/>
        </w:rPr>
        <w:t xml:space="preserve">7. Conclusion</w:t>
      </w:r>
    </w:p>
    <w:p>
      <w:pPr>
        <w:spacing w:before="80" w:after="80"/>
      </w:pPr>
      <w:r>
        <w:rPr>
          <w:rFonts w:ascii="Arial" w:cs="Arial" w:eastAsia="Arial" w:hAnsi="Arial"/>
          <w:sz w:val="20"/>
          <w:szCs w:val="20"/>
        </w:rPr>
        <w:t xml:space="preserve">The custom ArcGIS SDK stack presents a security profile that is comparable to approved no-code ESRI tools in every area that matters for data protection, and superior in the areas of code transparency and auditability. The primary additional responsibility it creates — dependency management and credential hygiene — is a standard expectation of any web development project and is addressed by the mitigations documented in Section 5.</w:t>
      </w:r>
    </w:p>
    <w:p>
      <w:pPr>
        <w:spacing w:before="80" w:after="80"/>
      </w:pPr>
      <w:r>
        <w:t xml:space="preserve"/>
      </w:r>
    </w:p>
    <w:p>
      <w:pPr>
        <w:spacing w:before="80" w:after="80"/>
      </w:pPr>
      <w:r>
        <w:rPr>
          <w:rFonts w:ascii="Arial" w:cs="Arial" w:eastAsia="Arial" w:hAnsi="Arial"/>
          <w:sz w:val="20"/>
          <w:szCs w:val="20"/>
        </w:rPr>
        <w:t xml:space="preserve">The humanitarian mission of the Red Cross is served by operational GIS tools that are faster, more flexible, and more tightly integrated with emerging AI capabilities than no-code platforms currently provide. This architecture is the correct long-term direction.</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8F5E9" w:val="clear"/>
            <w:tcMar>
              <w:top w:type="dxa" w:w="120"/>
              <w:left w:type="dxa" w:w="180"/>
              <w:bottom w:type="dxa" w:w="120"/>
              <w:right w:type="dxa" w:w="180"/>
            </w:tcMar>
          </w:tcPr>
          <w:p>
            <w:pPr>
              <w:spacing w:before="40" w:after="40"/>
            </w:pPr>
            <w:r>
              <w:rPr>
                <w:rFonts w:ascii="Arial" w:cs="Arial" w:eastAsia="Arial" w:hAnsi="Arial"/>
                <w:b/>
                <w:bCs/>
                <w:color w:val="1A1A2E"/>
                <w:sz w:val="18"/>
                <w:szCs w:val="18"/>
              </w:rPr>
              <w:t xml:space="preserve">RECOMMENDATION</w:t>
            </w:r>
          </w:p>
          <w:p>
            <w:pPr>
              <w:spacing w:before="40" w:after="40"/>
            </w:pPr>
            <w:r>
              <w:rPr>
                <w:rFonts w:ascii="Arial" w:cs="Arial" w:eastAsia="Arial" w:hAnsi="Arial"/>
                <w:sz w:val="20"/>
                <w:szCs w:val="20"/>
              </w:rPr>
              <w:t xml:space="preserve">Approve the custom ArcGIS SDK stack for production use under standard Red Cross web application security policy, with the review steps in Section 6 completed within 30 days.</w:t>
            </w:r>
          </w:p>
        </w:tc>
      </w:tr>
    </w:tbl>
    <w:p>
      <w:pPr>
        <w:spacing w:before="80" w:after="80"/>
      </w:pPr>
      <w:r>
        <w:t xml:space="preserve"/>
      </w:r>
    </w:p>
    <w:p>
      <w:pPr>
        <w:spacing w:before="80" w:after="80"/>
      </w:pPr>
      <w:r>
        <w:t xml:space="preserve"/>
      </w:r>
    </w:p>
    <w:p>
      <w:pPr>
        <w:pBdr>
          <w:top w:val="single" w:color="CCCCCC" w:sz="2" w:space="8"/>
        </w:pBdr>
        <w:spacing w:before="200" w:after="80"/>
      </w:pPr>
      <w:r>
        <w:rPr>
          <w:rFonts w:ascii="Arial" w:cs="Arial" w:eastAsia="Arial" w:hAnsi="Arial"/>
          <w:b/>
          <w:bCs/>
          <w:sz w:val="20"/>
          <w:szCs w:val="20"/>
        </w:rPr>
        <w:t xml:space="preserve">Jeff Franzen (Dragon)</w:t>
      </w:r>
    </w:p>
    <w:p>
      <w:pPr>
        <w:spacing w:before="80" w:after="80"/>
      </w:pPr>
      <w:r>
        <w:rPr>
          <w:rFonts w:ascii="Arial" w:cs="Arial" w:eastAsia="Arial" w:hAnsi="Arial"/>
          <w:sz w:val="20"/>
          <w:szCs w:val="20"/>
        </w:rPr>
        <w:t xml:space="preserve">GIS Developer, Strategic Initiatives</w:t>
      </w:r>
    </w:p>
    <w:p>
      <w:pPr>
        <w:spacing w:before="80" w:after="80"/>
      </w:pPr>
      <w:r>
        <w:rPr>
          <w:rFonts w:ascii="Arial" w:cs="Arial" w:eastAsia="Arial" w:hAnsi="Arial"/>
          <w:sz w:val="20"/>
          <w:szCs w:val="20"/>
        </w:rPr>
        <w:t xml:space="preserve">American Red Cross</w:t>
      </w:r>
    </w:p>
    <w:p>
      <w:pPr>
        <w:spacing w:before="80" w:after="80"/>
      </w:pPr>
      <w:r>
        <w:rPr>
          <w:rFonts w:ascii="Arial" w:cs="Arial" w:eastAsia="Arial" w:hAnsi="Arial"/>
          <w:sz w:val="20"/>
          <w:szCs w:val="20"/>
        </w:rPr>
        <w:t xml:space="preserve">Cumberland Foreside, Maine</w:t>
      </w:r>
    </w:p>
    <w:sectPr>
      <w:headerReference w:type="default" r:id="rId6"/>
      <w:footerReference w:type="default" r:id="rId7"/>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2" w:space="4"/>
      </w:pBdr>
      <w:tabs>
        <w:tab w:val="center" w:pos="4513"/>
        <w:tab w:val="right" w:pos="9026"/>
      </w:tabs>
    </w:pPr>
    <w:r>
      <w:rPr>
        <w:rFonts w:ascii="Arial" w:cs="Arial" w:eastAsia="Arial" w:hAnsi="Arial"/>
        <w:color w:val="888888"/>
        <w:sz w:val="16"/>
        <w:szCs w:val="16"/>
      </w:rPr>
      <w:t xml:space="preserve">Jeff Franzen (Dragon) — GIS Developer</w:t>
    </w:r>
    <w:r>
      <w:rPr>
        <w:sz w:val="16"/>
        <w:szCs w:val="16"/>
      </w:rPr>
      <w:t xml:space="preserve">	</w:t>
    </w:r>
    <w:r>
      <w:rPr>
        <w:rFonts w:ascii="Arial" w:cs="Arial" w:eastAsia="Arial" w:hAnsi="Arial"/>
        <w:color w:val="888888"/>
        <w:sz w:val="16"/>
        <w:szCs w:val="16"/>
      </w:rPr>
      <w:t xml:space="preserve">American Red Cross | Strategic Technology Initiative</w:t>
    </w:r>
    <w:r>
      <w:rPr>
        <w:sz w:val="16"/>
        <w:szCs w:val="16"/>
      </w:rPr>
      <w:t xml:space="preserve">	</w:t>
    </w:r>
    <w:r>
      <w:rPr>
        <w:rFonts w:ascii="Arial" w:cs="Arial" w:eastAsia="Arial" w:hAnsi="Arial"/>
        <w:color w:val="888888"/>
        <w:sz w:val="16"/>
        <w:szCs w:val="16"/>
      </w:rPr>
      <w:t xml:space="preserve">Page </w:t>
    </w:r>
    <w:r>
      <w:rPr>
        <w:rFonts w:ascii="Arial" w:cs="Arial" w:eastAsia="Arial" w:hAnsi="Arial"/>
        <w:color w:val="888888"/>
        <w:sz w:val="16"/>
        <w:szCs w:val="16"/>
      </w:rPr>
      <type>number</typ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720"/>
      <w:gridCol w:w="3000"/>
    </w:tblGrid>
    <w:tr>
      <w:tc>
        <w:tcPr>
          <w:tcW w:type="dxa" w:w="6720"/>
          <w:tcBorders>
            <w:top w:val="none" w:color="FFFFFF" w:sz="0"/>
            <w:left w:val="none" w:color="FFFFFF" w:sz="0"/>
            <w:bottom w:val="none" w:color="FFFFFF" w:sz="0"/>
            <w:right w:val="none" w:color="FFFFFF" w:sz="0"/>
          </w:tcBorders>
          <w:tcMar>
            <w:top w:type="dxa" w:w="0"/>
            <w:left w:type="dxa" w:w="0"/>
            <w:bottom w:type="dxa" w:w="60"/>
            <w:right w:type="dxa" w:w="0"/>
          </w:tcMar>
        </w:tcPr>
        <w:p>
          <w:r>
            <w:rPr>
              <w:rFonts w:ascii="Arial" w:cs="Arial" w:eastAsia="Arial" w:hAnsi="Arial"/>
              <w:b/>
              <w:bCs/>
              <w:color w:val="CC0000"/>
              <w:sz w:val="16"/>
              <w:szCs w:val="16"/>
            </w:rPr>
            <w:t xml:space="preserve">AMERICAN RED CROSS — GIS TECHNOLOGY SECURITY BRIEF</w:t>
          </w:r>
        </w:p>
      </w:tc>
      <w:tc>
        <w:tcPr>
          <w:tcW w:type="dxa" w:w="3000"/>
          <w:tcBorders>
            <w:top w:val="none" w:color="FFFFFF" w:sz="0"/>
            <w:left w:val="none" w:color="FFFFFF" w:sz="0"/>
            <w:bottom w:val="none" w:color="FFFFFF" w:sz="0"/>
            <w:right w:val="none" w:color="FFFFFF" w:sz="0"/>
          </w:tcBorders>
          <w:tcMar>
            <w:top w:type="dxa" w:w="0"/>
            <w:left w:type="dxa" w:w="0"/>
            <w:bottom w:type="dxa" w:w="60"/>
            <w:right w:type="dxa" w:w="0"/>
          </w:tcMar>
        </w:tcPr>
        <w:p>
          <w:pPr>
            <w:jc w:val="right"/>
          </w:pPr>
          <w:r>
            <w:rPr>
              <w:rFonts w:ascii="Arial" w:cs="Arial" w:eastAsia="Arial" w:hAnsi="Arial"/>
              <w:color w:val="888888"/>
              <w:sz w:val="16"/>
              <w:szCs w:val="16"/>
            </w:rPr>
            <w:t xml:space="preserve">CONFIDENTIAL — INTERNAL USE</w:t>
          </w:r>
        </w:p>
      </w:tc>
    </w:tr>
  </w:tbl>
  <w:p>
    <w:pPr>
      <w:pBdr>
        <w:bottom w:val="single" w:color="CC0000" w:sz="6" w:space="4"/>
      </w:pBdr>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A1A2E"/>
      <w:sz w:val="28"/>
      <w:szCs w:val="28"/>
    </w:rPr>
  </w:style>
  <w:style w:type="paragraph" w:styleId="Heading2">
    <w:name w:val="Heading 2"/>
    <w:basedOn w:val="Normal"/>
    <w:next w:val="Normal"/>
    <w:qFormat/>
    <w:pPr>
      <w:spacing w:before="280" w:after="100"/>
      <w:outlineLvl w:val="1"/>
    </w:pPr>
    <w:rPr>
      <w:rFonts w:ascii="Arial" w:cs="Arial" w:eastAsia="Arial" w:hAnsi="Arial"/>
      <w:b/>
      <w:bCs/>
      <w:color w:val="CC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2026-03-29T00:15:32.734Z</dcterms:created>
  <dcterms:modified xsi:type="dcterms:W3CDTF">2026-03-29T00:15:32.735Z</dcterms:modified>
</cp:coreProperties>
</file>

<file path=docProps/custom.xml><?xml version="1.0" encoding="utf-8"?>
<Properties xmlns="http://schemas.openxmlformats.org/officeDocument/2006/custom-properties" xmlns:vt="http://schemas.openxmlformats.org/officeDocument/2006/docPropsVTypes"/>
</file>