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jc w:val="center"/>
      </w:pPr>
      <w:r>
        <w:rPr>
          <w:rFonts w:ascii="Arial" w:cs="Arial" w:eastAsia="Arial" w:hAnsi="Arial"/>
          <w:b/>
          <w:bCs/>
          <w:color w:val="ED1B2E"/>
          <w:sz w:val="52"/>
          <w:szCs w:val="52"/>
        </w:rPr>
        <w:t xml:space="preserve">Spatial RAG for Humanitarian Disaster Response</w:t>
      </w:r>
    </w:p>
    <w:p>
      <w:pPr>
        <w:spacing w:after="300"/>
        <w:jc w:val="center"/>
      </w:pPr>
      <w:r>
        <w:rPr>
          <w:rFonts w:ascii="Arial" w:cs="Arial" w:eastAsia="Arial" w:hAnsi="Arial"/>
          <w:i/>
          <w:iCs/>
          <w:color w:val="555555"/>
          <w:sz w:val="28"/>
          <w:szCs w:val="28"/>
        </w:rPr>
        <w:t xml:space="preserve">How AI + Geography Is Changing Emergency Management</w:t>
      </w:r>
    </w:p>
    <w:p>
      <w:pPr>
        <w:spacing w:after="80"/>
        <w:jc w:val="center"/>
      </w:pPr>
      <w:r>
        <w:rPr>
          <w:rFonts w:ascii="Arial" w:cs="Arial" w:eastAsia="Arial" w:hAnsi="Arial"/>
          <w:sz w:val="22"/>
          <w:szCs w:val="22"/>
        </w:rPr>
        <w:t xml:space="preserve">Jeff Franzen, GIS Developer (Volunteer)</w:t>
      </w:r>
    </w:p>
    <w:p>
      <w:pPr>
        <w:spacing w:after="500"/>
        <w:jc w:val="center"/>
      </w:pPr>
      <w:r>
        <w:rPr>
          <w:rFonts w:ascii="Arial" w:cs="Arial" w:eastAsia="Arial" w:hAnsi="Arial"/>
          <w:color w:val="888888"/>
          <w:sz w:val="22"/>
          <w:szCs w:val="22"/>
        </w:rPr>
        <w:t xml:space="preserve">April 2026  |  Draft</w:t>
      </w:r>
    </w:p>
    <w:p>
      <w:pPr>
        <w:pBdr>
          <w:left w:val="single" w:color="ED1B2E" w:sz="12" w:space="10"/>
        </w:pBdr>
        <w:spacing w:after="240" w:before="240"/>
        <w:ind w:left="360"/>
      </w:pPr>
      <w:r>
        <w:rPr>
          <w:rFonts w:ascii="Arial" w:cs="Arial" w:eastAsia="Arial" w:hAnsi="Arial"/>
          <w:i/>
          <w:iCs/>
          <w:color w:val="333333"/>
          <w:sz w:val="20"/>
          <w:szCs w:val="20"/>
        </w:rPr>
        <w:t xml:space="preserve">Disclaimer: The views, opinions, and work expressed in this article are my own and do not represent or reflect the official position, policy, or endorsement of the American Red Cross. I am a volunteer GIS developer contributing personal research on geospatial technology for humanitarian applications.</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Abstract</w:t>
      </w:r>
    </w:p>
    <w:p>
      <w:pPr>
        <w:spacing w:after="160"/>
      </w:pPr>
      <w:r>
        <w:rPr>
          <w:rFonts w:ascii="Arial" w:cs="Arial" w:eastAsia="Arial" w:hAnsi="Arial"/>
          <w:sz w:val="22"/>
          <w:szCs w:val="22"/>
        </w:rPr>
        <w:t xml:space="preserve">Large organizations have always struggled to answer their own questions. Documents pile up in repositories, sorted into categories that made sense to whoever built the system. Staff open the portal, pick a category, pick a subcategory, search for the right document — except there are eleven documents that could be the right one — open the most likely candidate, read through it, discover it is outdated, open another, and eventually find the sentence that answers the question. Fifteen minutes. For one answer.</w:t>
      </w:r>
    </w:p>
    <w:p>
      <w:pPr>
        <w:spacing w:after="160"/>
      </w:pPr>
      <w:r>
        <w:rPr>
          <w:rFonts w:ascii="Arial" w:cs="Arial" w:eastAsia="Arial" w:hAnsi="Arial"/>
          <w:sz w:val="22"/>
          <w:szCs w:val="22"/>
        </w:rPr>
        <w:t xml:space="preserve">Since 2023, AI-powered document retrieval has been eliminating those fifteen minutes. Ask a question in plain English. The system reads every document simultaneously and returns the answer directly. No navigation. No dead ends. The right answer, immediately.</w:t>
      </w:r>
    </w:p>
    <w:p>
      <w:pPr>
        <w:spacing w:after="160"/>
      </w:pPr>
      <w:r>
        <w:rPr>
          <w:rFonts w:ascii="Arial" w:cs="Arial" w:eastAsia="Arial" w:hAnsi="Arial"/>
          <w:sz w:val="22"/>
          <w:szCs w:val="22"/>
        </w:rPr>
        <w:t xml:space="preserve">The same problem exists with maps — and the same solution now applies.</w:t>
      </w:r>
    </w:p>
    <w:p>
      <w:pPr>
        <w:spacing w:after="160"/>
      </w:pPr>
      <w:r>
        <w:rPr>
          <w:rFonts w:ascii="Arial" w:cs="Arial" w:eastAsia="Arial" w:hAnsi="Arial"/>
          <w:sz w:val="22"/>
          <w:szCs w:val="22"/>
        </w:rPr>
        <w:t xml:space="preserve">Disaster response organizations operate with layers upon layers of geographic data: where fires are happening, which communities cannot recover without help, where volunteers are positioned, which shelters are approaching capacity, what the federal risk scores say about each neighborhood. Getting answers from this data today means opening a mapping tool, adding layers one by one, adjusting filters, and trying to hold six datasets in one's head simultaneously. Every new question requires starting over. The GIS developer has become the query engine.</w:t>
      </w:r>
    </w:p>
    <w:p>
      <w:pPr>
        <w:spacing w:after="160"/>
      </w:pPr>
      <w:r>
        <w:rPr>
          <w:rFonts w:ascii="Arial" w:cs="Arial" w:eastAsia="Arial" w:hAnsi="Arial"/>
          <w:sz w:val="22"/>
          <w:szCs w:val="22"/>
        </w:rPr>
        <w:t xml:space="preserve">This paper introduces Spatial RAG — the same plain-English query principle applied to geography instead of documents. By unifying public federal risk datasets (FEMA National Risk Index, CDC Social Vulnerability Index) with operational data inside a PostGIS spatial database, and layering a natural language AI query interface on top, any spatial question — regardless of how many data layers it requires — can be answered in seconds without manual GIS analysis.</w:t>
      </w:r>
    </w:p>
    <w:p>
      <w:pPr>
        <w:spacing w:after="160"/>
      </w:pPr>
      <w:r>
        <w:rPr>
          <w:rFonts w:ascii="Arial" w:cs="Arial" w:eastAsia="Arial" w:hAnsi="Arial"/>
          <w:sz w:val="22"/>
          <w:szCs w:val="22"/>
        </w:rPr>
        <w:t xml:space="preserve">We present a working proof of concept using Florida as the demonstration state, and describe the path to national deployment.</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1. The Problem</w:t>
      </w:r>
    </w:p>
    <w:p>
      <w:pPr>
        <w:pStyle w:val="Heading2"/>
      </w:pPr>
      <w:r>
        <w:rPr>
          <w:rFonts w:ascii="Arial" w:cs="Arial" w:eastAsia="Arial" w:hAnsi="Arial"/>
          <w:color w:val="1a1a1a"/>
        </w:rPr>
        <w:t xml:space="preserve">1.1 The Dashboard Trap</w:t>
      </w:r>
    </w:p>
    <w:p>
      <w:pPr>
        <w:spacing w:after="160"/>
      </w:pPr>
      <w:r>
        <w:rPr>
          <w:rFonts w:ascii="Arial" w:cs="Arial" w:eastAsia="Arial" w:hAnsi="Arial"/>
          <w:sz w:val="22"/>
          <w:szCs w:val="22"/>
        </w:rPr>
        <w:t xml:space="preserve">Modern humanitarian GIS has produced an abundance of dashboards. Every program area has one. Every disaster operation spawns more. They visualize data well. They answer anticipated questions adequately.</w:t>
      </w:r>
    </w:p>
    <w:p>
      <w:pPr>
        <w:spacing w:after="160"/>
      </w:pPr>
      <w:r>
        <w:rPr>
          <w:rFonts w:ascii="Arial" w:cs="Arial" w:eastAsia="Arial" w:hAnsi="Arial"/>
          <w:sz w:val="22"/>
          <w:szCs w:val="22"/>
        </w:rPr>
        <w:t xml:space="preserve">But they share a fatal limitation: every new question requires a new dashboard. The GIS developer has become the query engine. When a Chief Disaster Officer needs to know how many elderly households are within 10 miles of an understaffed shelter, the answer may not come until the next morning — not because the data does not exist, but because nobody built a widget for that specific question.</w:t>
      </w:r>
    </w:p>
    <w:p>
      <w:pPr>
        <w:pStyle w:val="Heading2"/>
      </w:pPr>
      <w:r>
        <w:rPr>
          <w:rFonts w:ascii="Arial" w:cs="Arial" w:eastAsia="Arial" w:hAnsi="Arial"/>
          <w:color w:val="1a1a1a"/>
        </w:rPr>
        <w:t xml:space="preserve">1.2 The Spatial Gap in AI</w:t>
      </w:r>
    </w:p>
    <w:p>
      <w:pPr>
        <w:spacing w:after="160"/>
      </w:pPr>
      <w:r>
        <w:rPr>
          <w:rFonts w:ascii="Arial" w:cs="Arial" w:eastAsia="Arial" w:hAnsi="Arial"/>
          <w:sz w:val="22"/>
          <w:szCs w:val="22"/>
        </w:rPr>
        <w:t xml:space="preserve">The rise of RAG (Retrieval-Augmented Generation) systems has transformed document-based knowledge management. Organizations can now ask plain English questions and receive answers drawn from thousands of documents simultaneously.</w:t>
      </w:r>
    </w:p>
    <w:p>
      <w:pPr>
        <w:spacing w:after="160"/>
      </w:pPr>
      <w:r>
        <w:rPr>
          <w:rFonts w:ascii="Arial" w:cs="Arial" w:eastAsia="Arial" w:hAnsi="Arial"/>
          <w:sz w:val="22"/>
          <w:szCs w:val="22"/>
        </w:rPr>
        <w:t xml:space="preserve">But standard RAG systems are blind to geography. They retrieve semantically similar text. They cannot answer:</w:t>
      </w:r>
    </w:p>
    <w:p>
      <w:pPr>
        <w:pStyle w:val="ListParagraph"/>
        <w:numPr>
          <w:ilvl w:val="0"/>
          <w:numId w:val="2"/>
        </w:numPr>
        <w:spacing w:after="80"/>
      </w:pPr>
      <w:r>
        <w:rPr>
          <w:rFonts w:ascii="Arial" w:cs="Arial" w:eastAsia="Arial" w:hAnsi="Arial"/>
          <w:sz w:val="22"/>
          <w:szCs w:val="22"/>
        </w:rPr>
        <w:t xml:space="preserve">What is nearby?</w:t>
      </w:r>
    </w:p>
    <w:p>
      <w:pPr>
        <w:pStyle w:val="ListParagraph"/>
        <w:numPr>
          <w:ilvl w:val="0"/>
          <w:numId w:val="2"/>
        </w:numPr>
        <w:spacing w:after="80"/>
      </w:pPr>
      <w:r>
        <w:rPr>
          <w:rFonts w:ascii="Arial" w:cs="Arial" w:eastAsia="Arial" w:hAnsi="Arial"/>
          <w:sz w:val="22"/>
          <w:szCs w:val="22"/>
        </w:rPr>
        <w:t xml:space="preserve">What intersects this boundary?</w:t>
      </w:r>
    </w:p>
    <w:p>
      <w:pPr>
        <w:pStyle w:val="ListParagraph"/>
        <w:numPr>
          <w:ilvl w:val="0"/>
          <w:numId w:val="2"/>
        </w:numPr>
        <w:spacing w:after="80"/>
      </w:pPr>
      <w:r>
        <w:rPr>
          <w:rFonts w:ascii="Arial" w:cs="Arial" w:eastAsia="Arial" w:hAnsi="Arial"/>
          <w:sz w:val="22"/>
          <w:szCs w:val="22"/>
        </w:rPr>
        <w:t xml:space="preserve">What changed in this place over the last 30 days?</w:t>
      </w:r>
    </w:p>
    <w:p>
      <w:pPr>
        <w:pStyle w:val="ListParagraph"/>
        <w:numPr>
          <w:ilvl w:val="0"/>
          <w:numId w:val="2"/>
        </w:numPr>
        <w:spacing w:after="80"/>
      </w:pPr>
      <w:r>
        <w:rPr>
          <w:rFonts w:ascii="Arial" w:cs="Arial" w:eastAsia="Arial" w:hAnsi="Arial"/>
          <w:sz w:val="22"/>
          <w:szCs w:val="22"/>
        </w:rPr>
        <w:t xml:space="preserve">Which locations are highest risk given these three simultaneous conditions?</w:t>
      </w:r>
    </w:p>
    <w:p>
      <w:pPr>
        <w:spacing w:after="160"/>
      </w:pPr>
      <w:r>
        <w:rPr>
          <w:rFonts w:ascii="Arial" w:cs="Arial" w:eastAsia="Arial" w:hAnsi="Arial"/>
          <w:sz w:val="22"/>
          <w:szCs w:val="22"/>
        </w:rPr>
        <w:t xml:space="preserve">Humanitarian response questions are almost always spatial. Standard RAG solves the wrong problem.</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2. The Architecture</w:t>
      </w:r>
    </w:p>
    <w:p>
      <w:pPr>
        <w:pStyle w:val="Heading2"/>
      </w:pPr>
      <w:r>
        <w:rPr>
          <w:rFonts w:ascii="Arial" w:cs="Arial" w:eastAsia="Arial" w:hAnsi="Arial"/>
          <w:color w:val="1a1a1a"/>
        </w:rPr>
        <w:t xml:space="preserve">2.1 Core Principle</w:t>
      </w:r>
    </w:p>
    <w:p>
      <w:pPr>
        <w:spacing w:after="160"/>
      </w:pPr>
      <w:r>
        <w:rPr>
          <w:rFonts w:ascii="Arial" w:cs="Arial" w:eastAsia="Arial" w:hAnsi="Arial"/>
          <w:sz w:val="22"/>
          <w:szCs w:val="22"/>
        </w:rPr>
        <w:t xml:space="preserve">Standard RAG asks: what is similar?</w:t>
      </w:r>
    </w:p>
    <w:p>
      <w:pPr>
        <w:spacing w:after="160"/>
      </w:pPr>
      <w:r>
        <w:rPr>
          <w:rFonts w:ascii="Arial" w:cs="Arial" w:eastAsia="Arial" w:hAnsi="Arial"/>
          <w:sz w:val="22"/>
          <w:szCs w:val="22"/>
        </w:rPr>
        <w:t xml:space="preserve">Spatial RAG asks: what is similar, nearby, inside this boundary, and changed recently?</w:t>
      </w:r>
    </w:p>
    <w:p>
      <w:pPr>
        <w:spacing w:after="160"/>
      </w:pPr>
      <w:r>
        <w:rPr>
          <w:rFonts w:ascii="Arial" w:cs="Arial" w:eastAsia="Arial" w:hAnsi="Arial"/>
          <w:sz w:val="22"/>
          <w:szCs w:val="22"/>
        </w:rPr>
        <w:t xml:space="preserve">The distinction matters enormously in practice. A standard RAG system can tell you what documents discuss flood risk in a region. A Spatial RAG system can tell you which specific locations are at flood risk, which of those locations have vulnerable populations, and which organizational unit is responsible for responding — all in a single query.</w:t>
      </w:r>
    </w:p>
    <w:p>
      <w:pPr>
        <w:spacing w:after="160"/>
      </w:pPr>
      <w:r>
        <w:rPr>
          <w:rFonts w:ascii="Arial" w:cs="Arial" w:eastAsia="Arial" w:hAnsi="Arial"/>
          <w:sz w:val="22"/>
          <w:szCs w:val="22"/>
        </w:rPr>
        <w:t xml:space="preserve">In this proof of concept, that means three things per record:</w:t>
      </w:r>
    </w:p>
    <w:p>
      <w:pPr>
        <w:pStyle w:val="ListParagraph"/>
        <w:numPr>
          <w:ilvl w:val="0"/>
          <w:numId w:val="2"/>
        </w:numPr>
        <w:spacing w:after="80"/>
      </w:pPr>
      <w:r>
        <w:rPr>
          <w:rFonts w:ascii="Arial" w:cs="Arial" w:eastAsia="Arial" w:hAnsi="Arial"/>
          <w:sz w:val="22"/>
          <w:szCs w:val="22"/>
        </w:rPr>
        <w:t xml:space="preserve">Geometry — geographic coordinates stored as PostGIS spatial objects, enabling true spatial queries: distance, containment, intersection</w:t>
      </w:r>
    </w:p>
    <w:p>
      <w:pPr>
        <w:pStyle w:val="ListParagraph"/>
        <w:numPr>
          <w:ilvl w:val="0"/>
          <w:numId w:val="2"/>
        </w:numPr>
        <w:spacing w:after="80"/>
      </w:pPr>
      <w:r>
        <w:rPr>
          <w:rFonts w:ascii="Arial" w:cs="Arial" w:eastAsia="Arial" w:hAnsi="Arial"/>
          <w:sz w:val="22"/>
          <w:szCs w:val="22"/>
        </w:rPr>
        <w:t xml:space="preserve">Semantic embedding — an AI vector representation of the record's meaning, enabling retrieval by concept not just keyword</w:t>
      </w:r>
    </w:p>
    <w:p>
      <w:pPr>
        <w:pStyle w:val="ListParagraph"/>
        <w:numPr>
          <w:ilvl w:val="0"/>
          <w:numId w:val="2"/>
        </w:numPr>
        <w:spacing w:after="80"/>
      </w:pPr>
      <w:r>
        <w:rPr>
          <w:rFonts w:ascii="Arial" w:cs="Arial" w:eastAsia="Arial" w:hAnsi="Arial"/>
          <w:sz w:val="22"/>
          <w:szCs w:val="22"/>
        </w:rPr>
        <w:t xml:space="preserve">Organizational hierarchy — the chapter, region, and division assignment that connects federal geography to operational responsibility</w:t>
      </w:r>
    </w:p>
    <w:p>
      <w:pPr>
        <w:spacing w:after="160"/>
      </w:pPr>
      <w:r>
        <w:rPr>
          <w:rFonts w:ascii="Arial" w:cs="Arial" w:eastAsia="Arial" w:hAnsi="Arial"/>
          <w:sz w:val="22"/>
          <w:szCs w:val="22"/>
        </w:rPr>
        <w:t xml:space="preserve">Other implementations will make different choices. The principle is the same: a spatial question requires spatial answers, and spatial answers require data that knows where it lives and who owns it.</w:t>
      </w:r>
    </w:p>
    <w:p>
      <w:pPr>
        <w:pStyle w:val="Heading2"/>
      </w:pPr>
      <w:r>
        <w:rPr>
          <w:rFonts w:ascii="Arial" w:cs="Arial" w:eastAsia="Arial" w:hAnsi="Arial"/>
          <w:color w:val="1a1a1a"/>
        </w:rPr>
        <w:t xml:space="preserve">2.2 The Data Stack for This Proof of Concept</w:t>
      </w:r>
    </w:p>
    <w:p>
      <w:pPr>
        <w:spacing w:after="160"/>
      </w:pPr>
      <w:r>
        <w:rPr>
          <w:rFonts w:ascii="Arial" w:cs="Arial" w:eastAsia="Arial" w:hAnsi="Arial"/>
          <w:sz w:val="22"/>
          <w:szCs w:val="22"/>
        </w:rPr>
        <w:t xml:space="preserve">The specific datasets chosen here reflect the humanitarian response use case. A different application — urban planning, insurance risk, supply chain logistics — would make different choices. What matters is the pattern: public foundation layers that establish risk and vulnerability, combined with operational layers that reflect organizational reality.</w:t>
      </w:r>
    </w:p>
    <w:p>
      <w:pPr>
        <w:pStyle w:val="Heading3"/>
      </w:pPr>
      <w:r>
        <w:rPr>
          <w:rFonts w:ascii="Arial" w:cs="Arial" w:eastAsia="Arial" w:hAnsi="Arial"/>
          <w:color w:val="333333"/>
        </w:rPr>
        <w:t xml:space="preserve">Public Foundation Layers</w:t>
      </w:r>
    </w:p>
    <w:p>
      <w:pPr>
        <w:spacing w:after="160"/>
      </w:pPr>
      <w:r>
        <w:rPr>
          <w:rFonts w:ascii="Arial" w:cs="Arial" w:eastAsia="Arial" w:hAnsi="Arial"/>
          <w:b/>
          <w:bCs/>
          <w:sz w:val="22"/>
          <w:szCs w:val="22"/>
        </w:rPr>
        <w:t xml:space="preserve">FEMA National Risk Index (NRI) — </w:t>
      </w:r>
      <w:r>
        <w:rPr>
          <w:rFonts w:ascii="Arial" w:cs="Arial" w:eastAsia="Arial" w:hAnsi="Arial"/>
          <w:sz w:val="22"/>
          <w:szCs w:val="22"/>
        </w:rPr>
        <w:t xml:space="preserve">469 columns of hazard risk data at census tract level. 18 hazard types including hurricane, tornado, coastal flood, riverine flood, wildfire, heat wave, drought, and 11 others. Covers all 84,000+ US census tracts. Publicly available via FEMA.</w:t>
      </w:r>
    </w:p>
    <w:p>
      <w:pPr>
        <w:spacing w:after="160"/>
      </w:pPr>
      <w:r>
        <w:rPr>
          <w:rFonts w:ascii="Arial" w:cs="Arial" w:eastAsia="Arial" w:hAnsi="Arial"/>
          <w:b/>
          <w:bCs/>
          <w:sz w:val="22"/>
          <w:szCs w:val="22"/>
        </w:rPr>
        <w:t xml:space="preserve">CDC Social Vulnerability Index (SVI) — </w:t>
      </w:r>
      <w:r>
        <w:rPr>
          <w:rFonts w:ascii="Arial" w:cs="Arial" w:eastAsia="Arial" w:hAnsi="Arial"/>
          <w:sz w:val="22"/>
          <w:szCs w:val="22"/>
        </w:rPr>
        <w:t xml:space="preserve">158 columns of social vulnerability data at census tract level. Four themes: socioeconomic status, household characteristics and disability, minority status and language, housing type and transportation. Publicly available via CDC.</w:t>
      </w:r>
    </w:p>
    <w:p>
      <w:pPr>
        <w:spacing w:after="160"/>
      </w:pPr>
      <w:r>
        <w:rPr>
          <w:rFonts w:ascii="Arial" w:cs="Arial" w:eastAsia="Arial" w:hAnsi="Arial"/>
          <w:b/>
          <w:bCs/>
          <w:sz w:val="22"/>
          <w:szCs w:val="22"/>
        </w:rPr>
        <w:t xml:space="preserve">ALICE Data (United Way) — </w:t>
      </w:r>
      <w:r>
        <w:rPr>
          <w:rFonts w:ascii="Arial" w:cs="Arial" w:eastAsia="Arial" w:hAnsi="Arial"/>
          <w:sz w:val="22"/>
          <w:szCs w:val="22"/>
        </w:rPr>
        <w:t xml:space="preserve">Asset Limited, Income Constrained, Employed (ALICE) is United Way's measure of households that earn above the federal poverty line but cannot afford basic necessities. These are families that appear financially stable on paper but are one disaster away from catastrophe. County level, national coverage.</w:t>
      </w:r>
    </w:p>
    <w:p>
      <w:pPr>
        <w:spacing w:after="160"/>
      </w:pPr>
      <w:r>
        <w:rPr>
          <w:rFonts w:ascii="Arial" w:cs="Arial" w:eastAsia="Arial" w:hAnsi="Arial"/>
          <w:b/>
          <w:bCs/>
          <w:sz w:val="22"/>
          <w:szCs w:val="22"/>
        </w:rPr>
        <w:t xml:space="preserve">US Census / American Community Survey — </w:t>
      </w:r>
      <w:r>
        <w:rPr>
          <w:rFonts w:ascii="Arial" w:cs="Arial" w:eastAsia="Arial" w:hAnsi="Arial"/>
          <w:sz w:val="22"/>
          <w:szCs w:val="22"/>
        </w:rPr>
        <w:t xml:space="preserve">Population, age distribution, housing characteristics, disability rates, income levels. Census tract level via free API.</w:t>
      </w:r>
    </w:p>
    <w:p>
      <w:pPr>
        <w:spacing w:after="160"/>
      </w:pPr>
      <w:r>
        <w:rPr>
          <w:rFonts w:ascii="Arial" w:cs="Arial" w:eastAsia="Arial" w:hAnsi="Arial"/>
          <w:b/>
          <w:bCs/>
          <w:sz w:val="22"/>
          <w:szCs w:val="22"/>
        </w:rPr>
        <w:t xml:space="preserve">NFIRS — National Fire Incident Reporting System — </w:t>
      </w:r>
      <w:r>
        <w:rPr>
          <w:rFonts w:ascii="Arial" w:cs="Arial" w:eastAsia="Arial" w:hAnsi="Arial"/>
          <w:sz w:val="22"/>
          <w:szCs w:val="22"/>
        </w:rPr>
        <w:t xml:space="preserve">Every reported structure fire in America, annually. Geocoded by address. Enables analysis of fire rates by geography independent of response records.</w:t>
      </w:r>
    </w:p>
    <w:p>
      <w:pPr>
        <w:spacing w:after="160"/>
      </w:pPr>
      <w:r>
        <w:rPr>
          <w:rFonts w:ascii="Arial" w:cs="Arial" w:eastAsia="Arial" w:hAnsi="Arial"/>
          <w:b/>
          <w:bCs/>
          <w:sz w:val="22"/>
          <w:szCs w:val="22"/>
        </w:rPr>
        <w:t xml:space="preserve">USA Structures (FEMA/Microsoft) — </w:t>
      </w:r>
      <w:r>
        <w:rPr>
          <w:rFonts w:ascii="Arial" w:cs="Arial" w:eastAsia="Arial" w:hAnsi="Arial"/>
          <w:sz w:val="22"/>
          <w:szCs w:val="22"/>
        </w:rPr>
        <w:t xml:space="preserve">Every building footprint in America with occupancy classification, square footage, stories, and foundation type. Enables structure-level impact assessment inside any drawn polygon.</w:t>
      </w:r>
    </w:p>
    <w:p>
      <w:pPr>
        <w:pStyle w:val="Heading3"/>
      </w:pPr>
      <w:r>
        <w:rPr>
          <w:rFonts w:ascii="Arial" w:cs="Arial" w:eastAsia="Arial" w:hAnsi="Arial"/>
          <w:color w:val="333333"/>
        </w:rPr>
        <w:t xml:space="preserve">Operational Layers</w:t>
      </w:r>
    </w:p>
    <w:p>
      <w:pPr>
        <w:pStyle w:val="ListParagraph"/>
        <w:numPr>
          <w:ilvl w:val="0"/>
          <w:numId w:val="2"/>
        </w:numPr>
        <w:spacing w:after="80"/>
      </w:pPr>
      <w:r>
        <w:rPr>
          <w:rFonts w:ascii="Arial" w:cs="Arial" w:eastAsia="Arial" w:hAnsi="Arial"/>
          <w:sz w:val="22"/>
          <w:szCs w:val="22"/>
        </w:rPr>
        <w:t xml:space="preserve">Historical disaster response records — location, date, type, outcome</w:t>
      </w:r>
    </w:p>
    <w:p>
      <w:pPr>
        <w:pStyle w:val="ListParagraph"/>
        <w:numPr>
          <w:ilvl w:val="0"/>
          <w:numId w:val="2"/>
        </w:numPr>
        <w:spacing w:after="80"/>
      </w:pPr>
      <w:r>
        <w:rPr>
          <w:rFonts w:ascii="Arial" w:cs="Arial" w:eastAsia="Arial" w:hAnsi="Arial"/>
          <w:sz w:val="22"/>
          <w:szCs w:val="22"/>
        </w:rPr>
        <w:t xml:space="preserve">Home fire incidents responded to vs. total fires in area</w:t>
      </w:r>
    </w:p>
    <w:p>
      <w:pPr>
        <w:pStyle w:val="ListParagraph"/>
        <w:numPr>
          <w:ilvl w:val="0"/>
          <w:numId w:val="2"/>
        </w:numPr>
        <w:spacing w:after="80"/>
      </w:pPr>
      <w:r>
        <w:rPr>
          <w:rFonts w:ascii="Arial" w:cs="Arial" w:eastAsia="Arial" w:hAnsi="Arial"/>
          <w:sz w:val="22"/>
          <w:szCs w:val="22"/>
        </w:rPr>
        <w:t xml:space="preserve">Smoke alarm installation locations and dates</w:t>
      </w:r>
    </w:p>
    <w:p>
      <w:pPr>
        <w:pStyle w:val="ListParagraph"/>
        <w:numPr>
          <w:ilvl w:val="0"/>
          <w:numId w:val="2"/>
        </w:numPr>
        <w:spacing w:after="80"/>
      </w:pPr>
      <w:r>
        <w:rPr>
          <w:rFonts w:ascii="Arial" w:cs="Arial" w:eastAsia="Arial" w:hAnsi="Arial"/>
          <w:sz w:val="22"/>
          <w:szCs w:val="22"/>
        </w:rPr>
        <w:t xml:space="preserve">Shelter inventory — location, capacity, flood zone status, current occupancy</w:t>
      </w:r>
    </w:p>
    <w:p>
      <w:pPr>
        <w:pStyle w:val="ListParagraph"/>
        <w:numPr>
          <w:ilvl w:val="0"/>
          <w:numId w:val="2"/>
        </w:numPr>
        <w:spacing w:after="80"/>
      </w:pPr>
      <w:r>
        <w:rPr>
          <w:rFonts w:ascii="Arial" w:cs="Arial" w:eastAsia="Arial" w:hAnsi="Arial"/>
          <w:sz w:val="22"/>
          <w:szCs w:val="22"/>
        </w:rPr>
        <w:t xml:space="preserve">DAT volunteer home locations, certifications, and availability</w:t>
      </w:r>
    </w:p>
    <w:p>
      <w:pPr>
        <w:pStyle w:val="Heading3"/>
      </w:pPr>
      <w:r>
        <w:rPr>
          <w:rFonts w:ascii="Arial" w:cs="Arial" w:eastAsia="Arial" w:hAnsi="Arial"/>
          <w:color w:val="333333"/>
        </w:rPr>
        <w:t xml:space="preserve">The Organizational Geography Bridge</w:t>
      </w:r>
    </w:p>
    <w:p>
      <w:pPr>
        <w:spacing w:after="160"/>
      </w:pPr>
      <w:r>
        <w:rPr>
          <w:rFonts w:ascii="Arial" w:cs="Arial" w:eastAsia="Arial" w:hAnsi="Arial"/>
          <w:sz w:val="22"/>
          <w:szCs w:val="22"/>
        </w:rPr>
        <w:t xml:space="preserve">A lookup table mapping all 33,120 US ZIP codes to organizational hierarchy: Chapter, Region, Division, County, and FIPS. This table transforms public federal data into operational language, enabling any census tract query to answer: "Which chapter is responsible for this location?"</w:t>
      </w:r>
    </w:p>
    <w:p>
      <w:pPr>
        <w:spacing w:after="160"/>
      </w:pPr>
      <w:r>
        <w:rPr>
          <w:rFonts w:ascii="Arial" w:cs="Arial" w:eastAsia="Arial" w:hAnsi="Arial"/>
          <w:sz w:val="22"/>
          <w:szCs w:val="22"/>
        </w:rPr>
        <w:t xml:space="preserve">This bridge is not common. Most organizations working with federal geographic data stop at the FIPS code and never translate it into their own operational structure.</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3. The Proof of Concept</w:t>
      </w:r>
    </w:p>
    <w:p>
      <w:pPr>
        <w:spacing w:after="160"/>
      </w:pPr>
      <w:r>
        <w:rPr>
          <w:rFonts w:ascii="Arial" w:cs="Arial" w:eastAsia="Arial" w:hAnsi="Arial"/>
          <w:sz w:val="22"/>
          <w:szCs w:val="22"/>
        </w:rPr>
        <w:t xml:space="preserve">Single state: Florida. Demonstration scenario: hurricane impact assessment combined with home fire mission gap analysis.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960"/>
      </w:tblGrid>
      <w:tr>
        <w:trPr>
          <w:tblHeader/>
        </w:trPr>
        <w:tc>
          <w:tcPr>
            <w:tcW w:type="dxa" w:w="3600"/>
            <w:tcBorders>
              <w:top w:val="single" w:color="CCCCCC" w:sz="1"/>
              <w:left w:val="single" w:color="CCCCCC" w:sz="1"/>
              <w:bottom w:val="single" w:color="CCCCCC" w:sz="1"/>
              <w:right w:val="single" w:color="CCCCCC" w:sz="1"/>
            </w:tcBorders>
            <w:shd w:fill="ED1B2E" w:val="clear"/>
            <w:tcMar>
              <w:top w:type="dxa" w:w="80"/>
              <w:left w:type="dxa" w:w="120"/>
              <w:bottom w:type="dxa" w:w="80"/>
              <w:right w:type="dxa" w:w="120"/>
            </w:tcMar>
          </w:tcPr>
          <w:p>
            <w:r>
              <w:rPr>
                <w:rFonts w:ascii="Arial" w:cs="Arial" w:eastAsia="Arial" w:hAnsi="Arial"/>
                <w:b/>
                <w:bCs/>
                <w:color w:val="FFFFFF"/>
                <w:sz w:val="20"/>
                <w:szCs w:val="20"/>
              </w:rPr>
              <w:t xml:space="preserve">Dataset</w:t>
            </w:r>
          </w:p>
        </w:tc>
        <w:tc>
          <w:tcPr>
            <w:tcW w:type="dxa" w:w="1800"/>
            <w:tcBorders>
              <w:top w:val="single" w:color="CCCCCC" w:sz="1"/>
              <w:left w:val="single" w:color="CCCCCC" w:sz="1"/>
              <w:bottom w:val="single" w:color="CCCCCC" w:sz="1"/>
              <w:right w:val="single" w:color="CCCCCC" w:sz="1"/>
            </w:tcBorders>
            <w:shd w:fill="ED1B2E" w:val="clear"/>
            <w:tcMar>
              <w:top w:type="dxa" w:w="80"/>
              <w:left w:type="dxa" w:w="120"/>
              <w:bottom w:type="dxa" w:w="80"/>
              <w:right w:type="dxa" w:w="120"/>
            </w:tcMar>
          </w:tcPr>
          <w:p>
            <w:r>
              <w:rPr>
                <w:rFonts w:ascii="Arial" w:cs="Arial" w:eastAsia="Arial" w:hAnsi="Arial"/>
                <w:b/>
                <w:bCs/>
                <w:color w:val="FFFFFF"/>
                <w:sz w:val="20"/>
                <w:szCs w:val="20"/>
              </w:rPr>
              <w:t xml:space="preserve">Records</w:t>
            </w:r>
          </w:p>
        </w:tc>
        <w:tc>
          <w:tcPr>
            <w:tcW w:type="dxa" w:w="3960"/>
            <w:tcBorders>
              <w:top w:val="single" w:color="CCCCCC" w:sz="1"/>
              <w:left w:val="single" w:color="CCCCCC" w:sz="1"/>
              <w:bottom w:val="single" w:color="CCCCCC" w:sz="1"/>
              <w:right w:val="single" w:color="CCCCCC" w:sz="1"/>
            </w:tcBorders>
            <w:shd w:fill="ED1B2E" w:val="clear"/>
            <w:tcMar>
              <w:top w:type="dxa" w:w="80"/>
              <w:left w:type="dxa" w:w="120"/>
              <w:bottom w:type="dxa" w:w="80"/>
              <w:right w:type="dxa" w:w="120"/>
            </w:tcMar>
          </w:tcPr>
          <w:p>
            <w:r>
              <w:rPr>
                <w:rFonts w:ascii="Arial" w:cs="Arial" w:eastAsia="Arial" w:hAnsi="Arial"/>
                <w:b/>
                <w:bCs/>
                <w:color w:val="FFFFFF"/>
                <w:sz w:val="20"/>
                <w:szCs w:val="20"/>
              </w:rPr>
              <w:t xml:space="preserve">Type</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Census tract centroids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5,160</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Real — Census TIGER/Line 2022</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CDC SVI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5,122 tracts</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Real — 158 columns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FEMA NRI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5,114 tracts</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Real — 469 columns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Home fires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Synthetic — real tract locations</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Care cases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200</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Synthetic</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Smoke alarm installations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300</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Synthetic</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 volunteers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200</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Synthetic</w:t>
            </w:r>
          </w:p>
        </w:tc>
      </w:tr>
      <w:tr>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Shelters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30</w:t>
            </w:r>
          </w:p>
        </w:tc>
        <w:tc>
          <w:tcPr>
            <w:tcW w:type="dxa" w:w="3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Synthetic</w:t>
            </w:r>
          </w:p>
        </w:tc>
      </w:tr>
    </w:tbl>
    <w:p>
      <w:r>
        <w:t xml:space="preserve"/>
      </w:r>
    </w:p>
    <w:p>
      <w:pPr>
        <w:pStyle w:val="Heading2"/>
      </w:pPr>
      <w:r>
        <w:rPr>
          <w:rFonts w:ascii="Arial" w:cs="Arial" w:eastAsia="Arial" w:hAnsi="Arial"/>
          <w:color w:val="1a1a1a"/>
        </w:rPr>
        <w:t xml:space="preserve">Key Finding — Coverage Gaps Are Not Random</w:t>
      </w:r>
    </w:p>
    <w:p>
      <w:pPr>
        <w:spacing w:after="160"/>
      </w:pPr>
      <w:r>
        <w:rPr>
          <w:rFonts w:ascii="Arial" w:cs="Arial" w:eastAsia="Arial" w:hAnsi="Arial"/>
          <w:sz w:val="22"/>
          <w:szCs w:val="22"/>
        </w:rPr>
        <w:t xml:space="preserve">Not every fire results in a humanitarian response. Emergency response organizations are not always notified — fires are reported to fire departments, but the path to outreach organizations is not automatic. When incident data is overlaid with CDC SVI vulnerability scores, a pattern emerges: the gaps cluster in the same places as socioeconomic vulnerability. Communities with the least capacity to self-recover are also the communities least likely to receive outreach.</w:t>
      </w:r>
    </w:p>
    <w:p>
      <w:pPr>
        <w:spacing w:after="160"/>
      </w:pPr>
      <w:r>
        <w:rPr>
          <w:rFonts w:ascii="Arial" w:cs="Arial" w:eastAsia="Arial" w:hAnsi="Arial"/>
          <w:sz w:val="22"/>
          <w:szCs w:val="22"/>
        </w:rPr>
        <w:t xml:space="preserve">This is not a failure of intent. It is a consequence of not having visibility. A system that can identify where incidents are occurring, cross-reference them with vulnerability data, and surface the gaps makes that visibility possible.</w:t>
      </w:r>
    </w:p>
    <w:p>
      <w:pPr>
        <w:pStyle w:val="Heading2"/>
      </w:pPr>
      <w:r>
        <w:rPr>
          <w:rFonts w:ascii="Arial" w:cs="Arial" w:eastAsia="Arial" w:hAnsi="Arial"/>
          <w:color w:val="1a1a1a"/>
        </w:rPr>
        <w:t xml:space="preserve">Florida NRI Finding</w:t>
      </w:r>
    </w:p>
    <w:p>
      <w:pPr>
        <w:spacing w:after="160"/>
      </w:pPr>
      <w:r>
        <w:rPr>
          <w:rFonts w:ascii="Arial" w:cs="Arial" w:eastAsia="Arial" w:hAnsi="Arial"/>
          <w:sz w:val="22"/>
          <w:szCs w:val="22"/>
        </w:rPr>
        <w:t xml:space="preserve">Florida's FEMA NRI data revealed that nearly every census tract (mean HRCN_RISKS = 90.87) is in the top decile nationally for hurricane risk. Simultaneously, Florida scores low on community resilience (RESL_SCORE mean = 29.16). The maximum expected annualized loss in a single tract is $49.8 million.</w:t>
      </w:r>
    </w:p>
    <w:p>
      <w:pPr>
        <w:spacing w:after="160"/>
      </w:pPr>
      <w:r>
        <w:rPr>
          <w:rFonts w:ascii="Arial" w:cs="Arial" w:eastAsia="Arial" w:hAnsi="Arial"/>
          <w:sz w:val="22"/>
          <w:szCs w:val="22"/>
        </w:rPr>
        <w:t xml:space="preserve">This means a hurricane polygon query over Florida generates impact estimates grounded in real actuarial loss data, not rough approximations.</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4. The Three Demonstration Questions</w:t>
      </w:r>
    </w:p>
    <w:p>
      <w:pPr>
        <w:pStyle w:val="Heading2"/>
      </w:pPr>
      <w:r>
        <w:rPr>
          <w:rFonts w:ascii="Arial" w:cs="Arial" w:eastAsia="Arial" w:hAnsi="Arial"/>
          <w:color w:val="1a1a1a"/>
        </w:rPr>
        <w:t xml:space="preserve">Question 1: Home Fire Mission Gap</w:t>
      </w:r>
    </w:p>
    <w:p>
      <w:pPr>
        <w:pBdr>
          <w:left w:val="single" w:color="ED1B2E" w:sz="8" w:space="10"/>
        </w:pBdr>
        <w:spacing w:after="160"/>
        <w:ind w:left="720"/>
      </w:pPr>
      <w:r>
        <w:rPr>
          <w:rFonts w:ascii="Arial" w:cs="Arial" w:eastAsia="Arial" w:hAnsi="Arial"/>
          <w:i/>
          <w:iCs/>
          <w:color w:val="444444"/>
          <w:sz w:val="22"/>
          <w:szCs w:val="22"/>
        </w:rPr>
        <w:t xml:space="preserve">"Which ZIP codes have the highest home fire rates, lowest response rates, no smoke alarm installations, and highest social vulnerability?"</w:t>
      </w:r>
    </w:p>
    <w:p>
      <w:pPr>
        <w:spacing w:after="160"/>
      </w:pPr>
      <w:r>
        <w:rPr>
          <w:rFonts w:ascii="Arial" w:cs="Arial" w:eastAsia="Arial" w:hAnsi="Arial"/>
          <w:b/>
          <w:bCs/>
          <w:sz w:val="22"/>
          <w:szCs w:val="22"/>
        </w:rPr>
        <w:t xml:space="preserve">Layers crossed: </w:t>
      </w:r>
      <w:r>
        <w:rPr>
          <w:rFonts w:ascii="Arial" w:cs="Arial" w:eastAsia="Arial" w:hAnsi="Arial"/>
          <w:sz w:val="22"/>
          <w:szCs w:val="22"/>
        </w:rPr>
        <w:t xml:space="preserve">NFIRS fires + response records + smoke alarm installations + CDC SVI + organizational hierarchy</w:t>
      </w:r>
    </w:p>
    <w:p>
      <w:pPr>
        <w:spacing w:after="160"/>
      </w:pPr>
      <w:r>
        <w:rPr>
          <w:rFonts w:ascii="Arial" w:cs="Arial" w:eastAsia="Arial" w:hAnsi="Arial"/>
          <w:b/>
          <w:bCs/>
          <w:sz w:val="22"/>
          <w:szCs w:val="22"/>
        </w:rPr>
        <w:t xml:space="preserve">Output: </w:t>
      </w:r>
      <w:r>
        <w:rPr>
          <w:rFonts w:ascii="Arial" w:cs="Arial" w:eastAsia="Arial" w:hAnsi="Arial"/>
          <w:sz w:val="22"/>
          <w:szCs w:val="22"/>
        </w:rPr>
        <w:t xml:space="preserve">Ranked list of ZIP codes with composite gap score. Not a heatmap. A prioritized action list.</w:t>
      </w:r>
    </w:p>
    <w:p>
      <w:pPr>
        <w:spacing w:after="160"/>
      </w:pPr>
      <w:r>
        <w:rPr>
          <w:rFonts w:ascii="Arial" w:cs="Arial" w:eastAsia="Arial" w:hAnsi="Arial"/>
          <w:b/>
          <w:bCs/>
          <w:sz w:val="22"/>
          <w:szCs w:val="22"/>
        </w:rPr>
        <w:t xml:space="preserve">Operational use: </w:t>
      </w:r>
      <w:r>
        <w:rPr>
          <w:rFonts w:ascii="Arial" w:cs="Arial" w:eastAsia="Arial" w:hAnsi="Arial"/>
          <w:sz w:val="22"/>
          <w:szCs w:val="22"/>
        </w:rPr>
        <w:t xml:space="preserve">Where to deploy the next smoke alarm installation campaign.</w:t>
      </w:r>
    </w:p>
    <w:p>
      <w:r>
        <w:t xml:space="preserve"/>
      </w:r>
    </w:p>
    <w:p>
      <w:pPr>
        <w:pStyle w:val="Heading2"/>
      </w:pPr>
      <w:r>
        <w:rPr>
          <w:rFonts w:ascii="Arial" w:cs="Arial" w:eastAsia="Arial" w:hAnsi="Arial"/>
          <w:color w:val="1a1a1a"/>
        </w:rPr>
        <w:t xml:space="preserve">Question 2: Hurricane Pre-Impact Assessment</w:t>
      </w:r>
    </w:p>
    <w:p>
      <w:pPr>
        <w:pBdr>
          <w:left w:val="single" w:color="ED1B2E" w:sz="8" w:space="10"/>
        </w:pBdr>
        <w:spacing w:after="160"/>
        <w:ind w:left="720"/>
      </w:pPr>
      <w:r>
        <w:rPr>
          <w:rFonts w:ascii="Arial" w:cs="Arial" w:eastAsia="Arial" w:hAnsi="Arial"/>
          <w:i/>
          <w:iCs/>
          <w:color w:val="444444"/>
          <w:sz w:val="22"/>
          <w:szCs w:val="22"/>
        </w:rPr>
        <w:t xml:space="preserve">"A hurricane is projected to follow this path at Category 3 wind speed. What is my impact and what resources do I need?"</w:t>
      </w:r>
    </w:p>
    <w:p>
      <w:pPr>
        <w:spacing w:after="160"/>
      </w:pPr>
      <w:r>
        <w:rPr>
          <w:rFonts w:ascii="Arial" w:cs="Arial" w:eastAsia="Arial" w:hAnsi="Arial"/>
          <w:sz w:val="22"/>
          <w:szCs w:val="22"/>
        </w:rPr>
        <w:t xml:space="preserve">Output in seconds:</w:t>
      </w:r>
    </w:p>
    <w:p>
      <w:pPr>
        <w:pStyle w:val="ListParagraph"/>
        <w:numPr>
          <w:ilvl w:val="0"/>
          <w:numId w:val="2"/>
        </w:numPr>
        <w:spacing w:after="80"/>
      </w:pPr>
      <w:r>
        <w:rPr>
          <w:rFonts w:ascii="Arial" w:cs="Arial" w:eastAsia="Arial" w:hAnsi="Arial"/>
          <w:sz w:val="22"/>
          <w:szCs w:val="22"/>
        </w:rPr>
        <w:t xml:space="preserve">Structure counts by damage category (minor/major/destroyed)</w:t>
      </w:r>
    </w:p>
    <w:p>
      <w:pPr>
        <w:pStyle w:val="ListParagraph"/>
        <w:numPr>
          <w:ilvl w:val="0"/>
          <w:numId w:val="2"/>
        </w:numPr>
        <w:spacing w:after="80"/>
      </w:pPr>
      <w:r>
        <w:rPr>
          <w:rFonts w:ascii="Arial" w:cs="Arial" w:eastAsia="Arial" w:hAnsi="Arial"/>
          <w:sz w:val="22"/>
          <w:szCs w:val="22"/>
        </w:rPr>
        <w:t xml:space="preserve">Elderly and mobility-impaired household estimates</w:t>
      </w:r>
    </w:p>
    <w:p>
      <w:pPr>
        <w:pStyle w:val="ListParagraph"/>
        <w:numPr>
          <w:ilvl w:val="0"/>
          <w:numId w:val="2"/>
        </w:numPr>
        <w:spacing w:after="80"/>
      </w:pPr>
      <w:r>
        <w:rPr>
          <w:rFonts w:ascii="Arial" w:cs="Arial" w:eastAsia="Arial" w:hAnsi="Arial"/>
          <w:sz w:val="22"/>
          <w:szCs w:val="22"/>
        </w:rPr>
        <w:t xml:space="preserve">Mobile home count (highest wind vulnerability)</w:t>
      </w:r>
    </w:p>
    <w:p>
      <w:pPr>
        <w:pStyle w:val="ListParagraph"/>
        <w:numPr>
          <w:ilvl w:val="0"/>
          <w:numId w:val="2"/>
        </w:numPr>
        <w:spacing w:after="80"/>
      </w:pPr>
      <w:r>
        <w:rPr>
          <w:rFonts w:ascii="Arial" w:cs="Arial" w:eastAsia="Arial" w:hAnsi="Arial"/>
          <w:sz w:val="22"/>
          <w:szCs w:val="22"/>
        </w:rPr>
        <w:t xml:space="preserve">Shelter capacity vs. projected displaced population</w:t>
      </w:r>
    </w:p>
    <w:p>
      <w:pPr>
        <w:pStyle w:val="ListParagraph"/>
        <w:numPr>
          <w:ilvl w:val="0"/>
          <w:numId w:val="2"/>
        </w:numPr>
        <w:spacing w:after="80"/>
      </w:pPr>
      <w:r>
        <w:rPr>
          <w:rFonts w:ascii="Arial" w:cs="Arial" w:eastAsia="Arial" w:hAnsi="Arial"/>
          <w:sz w:val="22"/>
          <w:szCs w:val="22"/>
        </w:rPr>
        <w:t xml:space="preserve">DAT volunteer count within 2-hour drive radius vs. projected need</w:t>
      </w:r>
    </w:p>
    <w:p>
      <w:pPr>
        <w:pStyle w:val="ListParagraph"/>
        <w:numPr>
          <w:ilvl w:val="0"/>
          <w:numId w:val="2"/>
        </w:numPr>
        <w:spacing w:after="80"/>
      </w:pPr>
      <w:r>
        <w:rPr>
          <w:rFonts w:ascii="Arial" w:cs="Arial" w:eastAsia="Arial" w:hAnsi="Arial"/>
          <w:sz w:val="22"/>
          <w:szCs w:val="22"/>
        </w:rPr>
        <w:t xml:space="preserve">Hospitals and power infrastructure in path</w:t>
      </w:r>
    </w:p>
    <w:p>
      <w:pPr>
        <w:spacing w:after="160"/>
      </w:pPr>
      <w:r>
        <w:rPr>
          <w:rFonts w:ascii="Arial" w:cs="Arial" w:eastAsia="Arial" w:hAnsi="Arial"/>
          <w:b/>
          <w:bCs/>
          <w:sz w:val="22"/>
          <w:szCs w:val="22"/>
        </w:rPr>
        <w:t xml:space="preserve">Operational use: </w:t>
      </w:r>
      <w:r>
        <w:rPr>
          <w:rFonts w:ascii="Arial" w:cs="Arial" w:eastAsia="Arial" w:hAnsi="Arial"/>
          <w:sz w:val="22"/>
          <w:szCs w:val="22"/>
        </w:rPr>
        <w:t xml:space="preserve">Pre-deployment resource request before landfall.</w:t>
      </w:r>
    </w:p>
    <w:p>
      <w:r>
        <w:t xml:space="preserve"/>
      </w:r>
    </w:p>
    <w:p>
      <w:pPr>
        <w:pStyle w:val="Heading2"/>
      </w:pPr>
      <w:r>
        <w:rPr>
          <w:rFonts w:ascii="Arial" w:cs="Arial" w:eastAsia="Arial" w:hAnsi="Arial"/>
          <w:color w:val="1a1a1a"/>
        </w:rPr>
        <w:t xml:space="preserve">Question 3: National Coverage Equity</w:t>
      </w:r>
    </w:p>
    <w:p>
      <w:pPr>
        <w:pBdr>
          <w:left w:val="single" w:color="ED1B2E" w:sz="8" w:space="10"/>
        </w:pBdr>
        <w:spacing w:after="160"/>
        <w:ind w:left="720"/>
      </w:pPr>
      <w:r>
        <w:rPr>
          <w:rFonts w:ascii="Arial" w:cs="Arial" w:eastAsia="Arial" w:hAnsi="Arial"/>
          <w:i/>
          <w:iCs/>
          <w:color w:val="444444"/>
          <w:sz w:val="22"/>
          <w:szCs w:val="22"/>
        </w:rPr>
        <w:t xml:space="preserve">"Which Divisions have the worst combination of missed fire responses, high ALICE vulnerability, and thin DAT coverage — ranked nationally?"</w:t>
      </w:r>
    </w:p>
    <w:p>
      <w:pPr>
        <w:spacing w:after="160"/>
      </w:pPr>
      <w:r>
        <w:rPr>
          <w:rFonts w:ascii="Arial" w:cs="Arial" w:eastAsia="Arial" w:hAnsi="Arial"/>
          <w:b/>
          <w:bCs/>
          <w:sz w:val="22"/>
          <w:szCs w:val="22"/>
        </w:rPr>
        <w:t xml:space="preserve">Output: </w:t>
      </w:r>
      <w:r>
        <w:rPr>
          <w:rFonts w:ascii="Arial" w:cs="Arial" w:eastAsia="Arial" w:hAnsi="Arial"/>
          <w:sz w:val="22"/>
          <w:szCs w:val="22"/>
        </w:rPr>
        <w:t xml:space="preserve">Divisions ranked by composite gap score with supporting metrics.</w:t>
      </w:r>
    </w:p>
    <w:p>
      <w:pPr>
        <w:spacing w:after="160"/>
      </w:pPr>
      <w:r>
        <w:rPr>
          <w:rFonts w:ascii="Arial" w:cs="Arial" w:eastAsia="Arial" w:hAnsi="Arial"/>
          <w:b/>
          <w:bCs/>
          <w:sz w:val="22"/>
          <w:szCs w:val="22"/>
        </w:rPr>
        <w:t xml:space="preserve">Operational use: </w:t>
      </w:r>
      <w:r>
        <w:rPr>
          <w:rFonts w:ascii="Arial" w:cs="Arial" w:eastAsia="Arial" w:hAnsi="Arial"/>
          <w:sz w:val="22"/>
          <w:szCs w:val="22"/>
        </w:rPr>
        <w:t xml:space="preserve">National resource allocation and strategic investment decisions.</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5. Related Work and How We Differ</w:t>
      </w:r>
    </w:p>
    <w:p>
      <w:pPr>
        <w:spacing w:after="160"/>
      </w:pPr>
      <w:r>
        <w:rPr>
          <w:rFonts w:ascii="Arial" w:cs="Arial" w:eastAsia="Arial" w:hAnsi="Arial"/>
          <w:sz w:val="22"/>
          <w:szCs w:val="22"/>
        </w:rPr>
        <w:t xml:space="preserve">Geospatial RAG is a real and growing research area. Most substantive work has emerged in 2024-2025.</w:t>
      </w:r>
    </w:p>
    <w:p>
      <w:pPr>
        <w:pStyle w:val="Heading2"/>
      </w:pPr>
      <w:r>
        <w:rPr>
          <w:rFonts w:ascii="Arial" w:cs="Arial" w:eastAsia="Arial" w:hAnsi="Arial"/>
          <w:color w:val="1a1a1a"/>
        </w:rPr>
        <w:t xml:space="preserve">GeoGraphRAG</w:t>
      </w:r>
    </w:p>
    <w:p>
      <w:pPr>
        <w:spacing w:after="160"/>
      </w:pPr>
      <w:r>
        <w:rPr>
          <w:rFonts w:ascii="Arial" w:cs="Arial" w:eastAsia="Arial" w:hAnsi="Arial"/>
          <w:sz w:val="22"/>
          <w:szCs w:val="22"/>
        </w:rPr>
        <w:t xml:space="preserve">Graph-based RAG for geospatial modeling. Uses LLMs as agents to retrieve relevant subgraphs and generate geospatial modeling solutions and code.</w:t>
      </w:r>
    </w:p>
    <w:p>
      <w:pPr>
        <w:spacing w:after="160"/>
      </w:pPr>
      <w:r>
        <w:rPr>
          <w:rFonts w:ascii="Arial" w:cs="Arial" w:eastAsia="Arial" w:hAnsi="Arial"/>
          <w:b/>
          <w:bCs/>
          <w:sz w:val="22"/>
          <w:szCs w:val="22"/>
        </w:rPr>
        <w:t xml:space="preserve">What we learn from it: </w:t>
      </w:r>
      <w:r>
        <w:rPr>
          <w:rFonts w:ascii="Arial" w:cs="Arial" w:eastAsia="Arial" w:hAnsi="Arial"/>
          <w:sz w:val="22"/>
          <w:szCs w:val="22"/>
        </w:rPr>
        <w:t xml:space="preserve">Graph-based retrieval can surface spatial relationships that flat vector search misses.</w:t>
      </w:r>
    </w:p>
    <w:p>
      <w:pPr>
        <w:spacing w:after="160"/>
      </w:pPr>
      <w:r>
        <w:rPr>
          <w:rFonts w:ascii="Arial" w:cs="Arial" w:eastAsia="Arial" w:hAnsi="Arial"/>
          <w:b/>
          <w:bCs/>
          <w:sz w:val="22"/>
          <w:szCs w:val="22"/>
        </w:rPr>
        <w:t xml:space="preserve">How this work differs: </w:t>
      </w:r>
      <w:r>
        <w:rPr>
          <w:rFonts w:ascii="Arial" w:cs="Arial" w:eastAsia="Arial" w:hAnsi="Arial"/>
          <w:sz w:val="22"/>
          <w:szCs w:val="22"/>
        </w:rPr>
        <w:t xml:space="preserve">GeoGraphRAG is designed to generate geospatial modeling code from natural language — powerful for analysts building models. This work addresses a different question: not how to build a model, but where to act.</w:t>
      </w:r>
    </w:p>
    <w:p>
      <w:pPr>
        <w:pStyle w:val="Heading2"/>
      </w:pPr>
      <w:r>
        <w:rPr>
          <w:rFonts w:ascii="Arial" w:cs="Arial" w:eastAsia="Arial" w:hAnsi="Arial"/>
          <w:color w:val="1a1a1a"/>
        </w:rPr>
        <w:t xml:space="preserve">AlphaEarth Foundation Model Embeddings</w:t>
      </w:r>
    </w:p>
    <w:p>
      <w:pPr>
        <w:spacing w:after="160"/>
      </w:pPr>
      <w:r>
        <w:rPr>
          <w:rFonts w:ascii="Arial" w:cs="Arial" w:eastAsia="Arial" w:hAnsi="Arial"/>
          <w:sz w:val="22"/>
          <w:szCs w:val="22"/>
        </w:rPr>
        <w:t xml:space="preserve">Satellite foundation model embeddings as the retrieval backbone for a geospatial RAG pipeline.</w:t>
      </w:r>
    </w:p>
    <w:p>
      <w:pPr>
        <w:spacing w:after="160"/>
      </w:pPr>
      <w:r>
        <w:rPr>
          <w:rFonts w:ascii="Arial" w:cs="Arial" w:eastAsia="Arial" w:hAnsi="Arial"/>
          <w:b/>
          <w:bCs/>
          <w:sz w:val="22"/>
          <w:szCs w:val="22"/>
        </w:rPr>
        <w:t xml:space="preserve">What we learn from it: </w:t>
      </w:r>
      <w:r>
        <w:rPr>
          <w:rFonts w:ascii="Arial" w:cs="Arial" w:eastAsia="Arial" w:hAnsi="Arial"/>
          <w:sz w:val="22"/>
          <w:szCs w:val="22"/>
        </w:rPr>
        <w:t xml:space="preserve">What you embed matters as much as the architecture. Each census tract should be embedded as a descriptive paragraph, not as 469 numbers.</w:t>
      </w:r>
    </w:p>
    <w:p>
      <w:pPr>
        <w:spacing w:after="160"/>
      </w:pPr>
      <w:r>
        <w:rPr>
          <w:rFonts w:ascii="Arial" w:cs="Arial" w:eastAsia="Arial" w:hAnsi="Arial"/>
          <w:b/>
          <w:bCs/>
          <w:sz w:val="22"/>
          <w:szCs w:val="22"/>
        </w:rPr>
        <w:t xml:space="preserve">How we differ: </w:t>
      </w:r>
      <w:r>
        <w:rPr>
          <w:rFonts w:ascii="Arial" w:cs="Arial" w:eastAsia="Arial" w:hAnsi="Arial"/>
          <w:sz w:val="22"/>
          <w:szCs w:val="22"/>
        </w:rPr>
        <w:t xml:space="preserve">AlphaEarth works with satellite imagery and environmental similarity. This work uses federal tabular risk data and humanitarian operational records.</w:t>
      </w:r>
    </w:p>
    <w:p>
      <w:pPr>
        <w:pStyle w:val="Heading2"/>
      </w:pPr>
      <w:r>
        <w:rPr>
          <w:rFonts w:ascii="Arial" w:cs="Arial" w:eastAsia="Arial" w:hAnsi="Arial"/>
          <w:color w:val="1a1a1a"/>
        </w:rPr>
        <w:t xml:space="preserve">GeoSpatial-RAG (Open Source)</w:t>
      </w:r>
    </w:p>
    <w:p>
      <w:pPr>
        <w:spacing w:after="160"/>
      </w:pPr>
      <w:r>
        <w:rPr>
          <w:rFonts w:ascii="Arial" w:cs="Arial" w:eastAsia="Arial" w:hAnsi="Arial"/>
          <w:sz w:val="22"/>
          <w:szCs w:val="22"/>
        </w:rPr>
        <w:t xml:space="preserve">RAG framework for remote sensing imagery using CLIP. Reports 88%+ similarity matching.</w:t>
      </w:r>
    </w:p>
    <w:p>
      <w:pPr>
        <w:spacing w:after="160"/>
      </w:pPr>
      <w:r>
        <w:rPr>
          <w:rFonts w:ascii="Arial" w:cs="Arial" w:eastAsia="Arial" w:hAnsi="Arial"/>
          <w:b/>
          <w:bCs/>
          <w:sz w:val="22"/>
          <w:szCs w:val="22"/>
        </w:rPr>
        <w:t xml:space="preserve">How we differ: </w:t>
      </w:r>
      <w:r>
        <w:rPr>
          <w:rFonts w:ascii="Arial" w:cs="Arial" w:eastAsia="Arial" w:hAnsi="Arial"/>
          <w:sz w:val="22"/>
          <w:szCs w:val="22"/>
        </w:rPr>
        <w:t xml:space="preserve">Imagery-focused, not operationally-focused. Answers questions about what places look like, not what resources are needed there.</w:t>
      </w:r>
    </w:p>
    <w:p>
      <w:pPr>
        <w:pStyle w:val="Heading2"/>
      </w:pPr>
      <w:r>
        <w:rPr>
          <w:rFonts w:ascii="Arial" w:cs="Arial" w:eastAsia="Arial" w:hAnsi="Arial"/>
          <w:color w:val="1a1a1a"/>
        </w:rPr>
        <w:t xml:space="preserve">Esri: Adding Spatial Context with Embeddings (March 2026)</w:t>
      </w:r>
    </w:p>
    <w:p>
      <w:pPr>
        <w:spacing w:after="160"/>
      </w:pPr>
      <w:r>
        <w:rPr>
          <w:rFonts w:ascii="Arial" w:cs="Arial" w:eastAsia="Arial" w:hAnsi="Arial"/>
          <w:sz w:val="22"/>
          <w:szCs w:val="22"/>
        </w:rPr>
        <w:t xml:space="preserve">Presented at the 2026 Esri Developer and Technology Summit. A Geo-Demographic Foundation Model generates spatial signatures at H7 hexagonal resolution across 1.8 million US hex bins. Three new ArcGIS Pro tools: Generate Embeddings, Merge Embeddings, and Find Similar.</w:t>
      </w:r>
    </w:p>
    <w:p>
      <w:pPr>
        <w:spacing w:after="160"/>
      </w:pPr>
      <w:r>
        <w:rPr>
          <w:rFonts w:ascii="Arial" w:cs="Arial" w:eastAsia="Arial" w:hAnsi="Arial"/>
          <w:b/>
          <w:bCs/>
          <w:sz w:val="22"/>
          <w:szCs w:val="22"/>
        </w:rPr>
        <w:t xml:space="preserve">What we learn from it: </w:t>
      </w:r>
      <w:r>
        <w:rPr>
          <w:rFonts w:ascii="Arial" w:cs="Arial" w:eastAsia="Arial" w:hAnsi="Arial"/>
          <w:sz w:val="22"/>
          <w:szCs w:val="22"/>
        </w:rPr>
        <w:t xml:space="preserve">The "select one place, find all similar places" interaction pattern is intuitive and powerful. Confirms that embeddings extend structured variables rather than replacing them.</w:t>
      </w:r>
    </w:p>
    <w:p>
      <w:pPr>
        <w:spacing w:after="160"/>
      </w:pPr>
      <w:r>
        <w:rPr>
          <w:rFonts w:ascii="Arial" w:cs="Arial" w:eastAsia="Arial" w:hAnsi="Arial"/>
          <w:b/>
          <w:bCs/>
          <w:sz w:val="22"/>
          <w:szCs w:val="22"/>
        </w:rPr>
        <w:t xml:space="preserve">How this work differs: </w:t>
      </w:r>
      <w:r>
        <w:rPr>
          <w:rFonts w:ascii="Arial" w:cs="Arial" w:eastAsia="Arial" w:hAnsi="Arial"/>
          <w:sz w:val="22"/>
          <w:szCs w:val="22"/>
        </w:rPr>
        <w:t xml:space="preserve">Esri's approach answers "where else looks like this place" — powerful for similarity discovery. This work answers "where do I act, given what I know about risk, vulnerability, and my organizational responsibilities?" The two approaches are complementary.</w:t>
      </w:r>
    </w:p>
    <w:p>
      <w:pPr>
        <w:pStyle w:val="Heading2"/>
      </w:pPr>
      <w:r>
        <w:rPr>
          <w:rFonts w:ascii="Arial" w:cs="Arial" w:eastAsia="Arial" w:hAnsi="Arial"/>
          <w:color w:val="1a1a1a"/>
        </w:rPr>
        <w:t xml:space="preserve">Elastic + Amazon Bedrock Hybrid Geospatial RAG</w:t>
      </w:r>
    </w:p>
    <w:p>
      <w:pPr>
        <w:spacing w:after="160"/>
      </w:pPr>
      <w:r>
        <w:rPr>
          <w:rFonts w:ascii="Arial" w:cs="Arial" w:eastAsia="Arial" w:hAnsi="Arial"/>
          <w:sz w:val="22"/>
          <w:szCs w:val="22"/>
        </w:rPr>
        <w:t xml:space="preserve">The most directly actionable reference architecture published. Two-stage filter: spatial proximity AND semantic similarity.</w:t>
      </w:r>
    </w:p>
    <w:p>
      <w:pPr>
        <w:spacing w:after="160"/>
      </w:pPr>
      <w:r>
        <w:rPr>
          <w:rFonts w:ascii="Arial" w:cs="Arial" w:eastAsia="Arial" w:hAnsi="Arial"/>
          <w:b/>
          <w:bCs/>
          <w:sz w:val="22"/>
          <w:szCs w:val="22"/>
        </w:rPr>
        <w:t xml:space="preserve">What we learn: </w:t>
      </w:r>
      <w:r>
        <w:rPr>
          <w:rFonts w:ascii="Arial" w:cs="Arial" w:eastAsia="Arial" w:hAnsi="Arial"/>
          <w:sz w:val="22"/>
          <w:szCs w:val="22"/>
        </w:rPr>
        <w:t xml:space="preserve">This validates our core architecture choice. pgvector + PostGIS is the right stack.</w:t>
      </w:r>
    </w:p>
    <w:p>
      <w:r>
        <w:t xml:space="preserve"/>
      </w:r>
    </w:p>
    <w:p>
      <w:pPr>
        <w:pStyle w:val="Heading2"/>
      </w:pPr>
      <w:r>
        <w:rPr>
          <w:rFonts w:ascii="Arial" w:cs="Arial" w:eastAsia="Arial" w:hAnsi="Arial"/>
          <w:color w:val="1a1a1a"/>
        </w:rPr>
        <w:t xml:space="preserve">The Core Problem the Research Keeps Hitting</w:t>
      </w:r>
    </w:p>
    <w:p>
      <w:pPr>
        <w:pBdr>
          <w:left w:val="single" w:color="ED1B2E" w:sz="8" w:space="10"/>
        </w:pBdr>
        <w:spacing w:after="160"/>
        <w:ind w:left="720"/>
      </w:pPr>
      <w:r>
        <w:rPr>
          <w:rFonts w:ascii="Arial" w:cs="Arial" w:eastAsia="Arial" w:hAnsi="Arial"/>
          <w:i/>
          <w:iCs/>
          <w:color w:val="444444"/>
          <w:sz w:val="22"/>
          <w:szCs w:val="22"/>
        </w:rPr>
        <w:t xml:space="preserve">"Space is lost in LLMs, and LLMs are lost in space."</w:t>
      </w:r>
    </w:p>
    <w:p>
      <w:pPr>
        <w:spacing w:after="160"/>
      </w:pPr>
      <w:r>
        <w:rPr>
          <w:rFonts w:ascii="Arial" w:cs="Arial" w:eastAsia="Arial" w:hAnsi="Arial"/>
          <w:sz w:val="22"/>
          <w:szCs w:val="22"/>
        </w:rPr>
        <w:t xml:space="preserve">There is a documented vocabulary gap between large language models and foundational geospatial concepts. RAG-based retrieval with spatially-aware databases is being proposed as the bridge. This architecture is aligned with where the field is pointing.</w:t>
      </w:r>
    </w:p>
    <w:p>
      <w:r>
        <w:t xml:space="preserve"/>
      </w:r>
    </w:p>
    <w:p>
      <w:pPr>
        <w:pStyle w:val="Heading2"/>
      </w:pPr>
      <w:r>
        <w:rPr>
          <w:rFonts w:ascii="Arial" w:cs="Arial" w:eastAsia="Arial" w:hAnsi="Arial"/>
          <w:color w:val="1a1a1a"/>
        </w:rPr>
        <w:t xml:space="preserve">What We Are Adding That Does Not Exist</w:t>
      </w:r>
    </w:p>
    <w:p>
      <w:pPr>
        <w:spacing w:after="160"/>
      </w:pPr>
      <w:r>
        <w:rPr>
          <w:rFonts w:ascii="Arial" w:cs="Arial" w:eastAsia="Arial" w:hAnsi="Arial"/>
          <w:b/>
          <w:bCs/>
          <w:sz w:val="22"/>
          <w:szCs w:val="22"/>
        </w:rPr>
        <w:t xml:space="preserve">Contribution 1: The Organizational Geography Bridge — </w:t>
      </w:r>
      <w:r>
        <w:rPr>
          <w:rFonts w:ascii="Arial" w:cs="Arial" w:eastAsia="Arial" w:hAnsi="Arial"/>
          <w:sz w:val="22"/>
          <w:szCs w:val="22"/>
        </w:rPr>
        <w:t xml:space="preserve">Mapping all 33,120 US ZIP codes to Chapter, Region, and Division. Not present in any published work. Makes federal FIPS codes answer: "Who is responsible for this location?" Generalizable to any organization with defined service territories.</w:t>
      </w:r>
    </w:p>
    <w:p>
      <w:pPr>
        <w:spacing w:after="160"/>
      </w:pPr>
      <w:r>
        <w:rPr>
          <w:rFonts w:ascii="Arial" w:cs="Arial" w:eastAsia="Arial" w:hAnsi="Arial"/>
          <w:b/>
          <w:bCs/>
          <w:sz w:val="22"/>
          <w:szCs w:val="22"/>
        </w:rPr>
        <w:t xml:space="preserve">Contribution 2: The Unified Federal Risk Stack — </w:t>
      </w:r>
      <w:r>
        <w:rPr>
          <w:rFonts w:ascii="Arial" w:cs="Arial" w:eastAsia="Arial" w:hAnsi="Arial"/>
          <w:sz w:val="22"/>
          <w:szCs w:val="22"/>
        </w:rPr>
        <w:t xml:space="preserve">NRI (469 columns) + SVI (158 columns) + ALICE unified in a single PostGIS database at census tract level. The data has been public for years. The unification has not been done.</w:t>
      </w:r>
    </w:p>
    <w:p>
      <w:pPr>
        <w:spacing w:after="160"/>
      </w:pPr>
      <w:r>
        <w:rPr>
          <w:rFonts w:ascii="Arial" w:cs="Arial" w:eastAsia="Arial" w:hAnsi="Arial"/>
          <w:b/>
          <w:bCs/>
          <w:sz w:val="22"/>
          <w:szCs w:val="22"/>
        </w:rPr>
        <w:t xml:space="preserve">Contribution 3: Humanitarian Operational Decision Questions — </w:t>
      </w:r>
      <w:r>
        <w:rPr>
          <w:rFonts w:ascii="Arial" w:cs="Arial" w:eastAsia="Arial" w:hAnsi="Arial"/>
          <w:sz w:val="22"/>
          <w:szCs w:val="22"/>
        </w:rPr>
        <w:t xml:space="preserve">The academic literature focuses on code generation, imagery retrieval, and event geocoding. None of it answers: Where do I pre-position resources? What is my shelter shortfall? Which communities am I systematically not reaching?</w:t>
      </w:r>
    </w:p>
    <w:p>
      <w:pPr>
        <w:spacing w:after="160"/>
      </w:pPr>
      <w:r>
        <w:rPr>
          <w:rFonts w:ascii="Arial" w:cs="Arial" w:eastAsia="Arial" w:hAnsi="Arial"/>
          <w:b/>
          <w:bCs/>
          <w:sz w:val="22"/>
          <w:szCs w:val="22"/>
        </w:rPr>
        <w:t xml:space="preserve">Contribution 4: Semantic Descriptions Over Raw Column Embeddings — </w:t>
      </w:r>
      <w:r>
        <w:rPr>
          <w:rFonts w:ascii="Arial" w:cs="Arial" w:eastAsia="Arial" w:hAnsi="Arial"/>
          <w:sz w:val="22"/>
          <w:szCs w:val="22"/>
        </w:rPr>
        <w:t xml:space="preserve">Rather than embedding raw numerical columns, each census tract is described as a human-readable paragraph combining risk scores, demographics, and organizational context. That paragraph retrieves correctly. 469 raw numbers do not.</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6. Why This Has Not Existed Before</w:t>
      </w:r>
    </w:p>
    <w:p>
      <w:pPr>
        <w:spacing w:after="160"/>
      </w:pPr>
      <w:r>
        <w:rPr>
          <w:rFonts w:ascii="Arial" w:cs="Arial" w:eastAsia="Arial" w:hAnsi="Arial"/>
          <w:b/>
          <w:bCs/>
          <w:sz w:val="22"/>
          <w:szCs w:val="22"/>
        </w:rPr>
        <w:t xml:space="preserve">Condition 1: </w:t>
      </w:r>
      <w:r>
        <w:rPr>
          <w:rFonts w:ascii="Arial" w:cs="Arial" w:eastAsia="Arial" w:hAnsi="Arial"/>
          <w:sz w:val="22"/>
          <w:szCs w:val="22"/>
        </w:rPr>
        <w:t xml:space="preserve">AI language models capable of translating natural language into complex multi-dimensional database queries. Became reliably true in 2023-2024.</w:t>
      </w:r>
    </w:p>
    <w:p>
      <w:pPr>
        <w:spacing w:after="160"/>
      </w:pPr>
      <w:r>
        <w:rPr>
          <w:rFonts w:ascii="Arial" w:cs="Arial" w:eastAsia="Arial" w:hAnsi="Arial"/>
          <w:b/>
          <w:bCs/>
          <w:sz w:val="22"/>
          <w:szCs w:val="22"/>
        </w:rPr>
        <w:t xml:space="preserve">Condition 2: </w:t>
      </w:r>
      <w:r>
        <w:rPr>
          <w:rFonts w:ascii="Arial" w:cs="Arial" w:eastAsia="Arial" w:hAnsi="Arial"/>
          <w:sz w:val="22"/>
          <w:szCs w:val="22"/>
        </w:rPr>
        <w:t xml:space="preserve">Spatial databases capable of storing geometry and semantic embeddings on the same record, queryable together. pgvector + PostGIS integration made this practical in 2023.</w:t>
      </w:r>
    </w:p>
    <w:p>
      <w:pPr>
        <w:spacing w:after="160"/>
      </w:pPr>
      <w:r>
        <w:rPr>
          <w:rFonts w:ascii="Arial" w:cs="Arial" w:eastAsia="Arial" w:hAnsi="Arial"/>
          <w:b/>
          <w:bCs/>
          <w:sz w:val="22"/>
          <w:szCs w:val="22"/>
        </w:rPr>
        <w:t xml:space="preserve">Condition 3: </w:t>
      </w:r>
      <w:r>
        <w:rPr>
          <w:rFonts w:ascii="Arial" w:cs="Arial" w:eastAsia="Arial" w:hAnsi="Arial"/>
          <w:sz w:val="22"/>
          <w:szCs w:val="22"/>
        </w:rPr>
        <w:t xml:space="preserve">An organizational geography bridge connecting federal geographic identifiers to operational command structure — enriching federal data with Division, Region, Chapter, and organizational codes. This enrichment is now possible and proven at national scale.</w:t>
      </w:r>
    </w:p>
    <w:p>
      <w:pPr>
        <w:spacing w:after="160"/>
      </w:pPr>
      <w:r>
        <w:rPr>
          <w:rFonts w:ascii="Arial" w:cs="Arial" w:eastAsia="Arial" w:hAnsi="Arial"/>
          <w:sz w:val="22"/>
          <w:szCs w:val="22"/>
        </w:rPr>
        <w:t xml:space="preserve">All three conditions are now met. The timing is right.</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7. The Path to National Deployment</w:t>
      </w:r>
    </w:p>
    <w:p>
      <w:pPr>
        <w:spacing w:after="160"/>
      </w:pPr>
      <w:r>
        <w:rPr>
          <w:rFonts w:ascii="Arial" w:cs="Arial" w:eastAsia="Arial" w:hAnsi="Arial"/>
          <w:b/>
          <w:bCs/>
          <w:sz w:val="22"/>
          <w:szCs w:val="22"/>
        </w:rPr>
        <w:t xml:space="preserve">Phase 1: Florida Proof of Concept (Current) — </w:t>
      </w:r>
      <w:r>
        <w:rPr>
          <w:rFonts w:ascii="Arial" w:cs="Arial" w:eastAsia="Arial" w:hAnsi="Arial"/>
          <w:sz w:val="22"/>
          <w:szCs w:val="22"/>
        </w:rPr>
        <w:t xml:space="preserve">Prove the architecture works. One state. Real public federal data. Synthetic operational data used in place of internal records to demonstrate the query layer without requiring access to proprietary systems.</w:t>
      </w:r>
    </w:p>
    <w:p>
      <w:pPr>
        <w:spacing w:after="160"/>
      </w:pPr>
      <w:r>
        <w:rPr>
          <w:rFonts w:ascii="Arial" w:cs="Arial" w:eastAsia="Arial" w:hAnsi="Arial"/>
          <w:b/>
          <w:bCs/>
          <w:sz w:val="22"/>
          <w:szCs w:val="22"/>
        </w:rPr>
        <w:t xml:space="preserve">Phase 2: National Data Load — </w:t>
      </w:r>
      <w:r>
        <w:rPr>
          <w:rFonts w:ascii="Arial" w:cs="Arial" w:eastAsia="Arial" w:hAnsi="Arial"/>
          <w:sz w:val="22"/>
          <w:szCs w:val="22"/>
        </w:rPr>
        <w:t xml:space="preserve">The Florida download script loops through all 50 states. Result: 84,000 census tracts with 627 combined risk and vulnerability columns, enriched with organizational hierarchy.</w:t>
      </w:r>
    </w:p>
    <w:p>
      <w:pPr>
        <w:spacing w:after="160"/>
      </w:pPr>
      <w:r>
        <w:rPr>
          <w:rFonts w:ascii="Arial" w:cs="Arial" w:eastAsia="Arial" w:hAnsi="Arial"/>
          <w:b/>
          <w:bCs/>
          <w:sz w:val="22"/>
          <w:szCs w:val="22"/>
        </w:rPr>
        <w:t xml:space="preserve">Phase 3: Internal Data Integration — </w:t>
      </w:r>
      <w:r>
        <w:rPr>
          <w:rFonts w:ascii="Arial" w:cs="Arial" w:eastAsia="Arial" w:hAnsi="Arial"/>
          <w:sz w:val="22"/>
          <w:szCs w:val="22"/>
        </w:rPr>
        <w:t xml:space="preserve">Replace synthetic operational layers with real data — disaster response records, shelter inventory, DAT volunteer locations, smoke alarm installations. Requires coordination with data governance.</w:t>
      </w:r>
    </w:p>
    <w:p>
      <w:pPr>
        <w:spacing w:after="160"/>
      </w:pPr>
      <w:r>
        <w:rPr>
          <w:rFonts w:ascii="Arial" w:cs="Arial" w:eastAsia="Arial" w:hAnsi="Arial"/>
          <w:b/>
          <w:bCs/>
          <w:sz w:val="22"/>
          <w:szCs w:val="22"/>
        </w:rPr>
        <w:t xml:space="preserve">Phase 4: Query Interface — </w:t>
      </w:r>
      <w:r>
        <w:rPr>
          <w:rFonts w:ascii="Arial" w:cs="Arial" w:eastAsia="Arial" w:hAnsi="Arial"/>
          <w:sz w:val="22"/>
          <w:szCs w:val="22"/>
        </w:rPr>
        <w:t xml:space="preserve">Natural language query panel accessible to Chief Disaster Officers and regional leadership. No GIS training required.</w:t>
      </w:r>
    </w:p>
    <w:p>
      <w:pPr>
        <w:spacing w:after="160"/>
      </w:pPr>
      <w:r>
        <w:rPr>
          <w:rFonts w:ascii="Arial" w:cs="Arial" w:eastAsia="Arial" w:hAnsi="Arial"/>
          <w:b/>
          <w:bCs/>
          <w:sz w:val="22"/>
          <w:szCs w:val="22"/>
        </w:rPr>
        <w:t xml:space="preserve">Phase 5: Pre-Impact Operations — </w:t>
      </w:r>
      <w:r>
        <w:rPr>
          <w:rFonts w:ascii="Arial" w:cs="Arial" w:eastAsia="Arial" w:hAnsi="Arial"/>
          <w:sz w:val="22"/>
          <w:szCs w:val="22"/>
        </w:rPr>
        <w:t xml:space="preserve">Integrate with National Weather Service forecast cones and FEMA impact models. System answers pre-impact questions automatically as storms approach.</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8. Conclusion</w:t>
      </w:r>
    </w:p>
    <w:p>
      <w:pPr>
        <w:spacing w:after="160"/>
      </w:pPr>
      <w:r>
        <w:rPr>
          <w:rFonts w:ascii="Arial" w:cs="Arial" w:eastAsia="Arial" w:hAnsi="Arial"/>
          <w:sz w:val="22"/>
          <w:szCs w:val="22"/>
        </w:rPr>
        <w:t xml:space="preserve">The data exists. The technology exists. The organizational geography bridge exists. The only missing piece was the architecture to unify them.</w:t>
      </w:r>
    </w:p>
    <w:p>
      <w:pPr>
        <w:spacing w:after="160"/>
      </w:pPr>
      <w:r>
        <w:rPr>
          <w:rFonts w:ascii="Arial" w:cs="Arial" w:eastAsia="Arial" w:hAnsi="Arial"/>
          <w:sz w:val="22"/>
          <w:szCs w:val="22"/>
        </w:rPr>
        <w:t xml:space="preserve">Spatial RAG provides that architecture. It transforms accumulated geographic intelligence from a collection of dashboards that answer anticipated questions into a decision engine that answers any question — in seconds, spatially, with the full weight of 627 columns of real federal risk data behind every answer.</w:t>
      </w:r>
    </w:p>
    <w:p>
      <w:pPr>
        <w:spacing w:after="160"/>
      </w:pPr>
      <w:r>
        <w:rPr>
          <w:rFonts w:ascii="Arial" w:cs="Arial" w:eastAsia="Arial" w:hAnsi="Arial"/>
          <w:sz w:val="22"/>
          <w:szCs w:val="22"/>
        </w:rPr>
        <w:t xml:space="preserve">The question shifts from "What does the map show?" to "Where do I act, and in what order?"</w:t>
      </w:r>
    </w:p>
    <w:p>
      <w:pPr>
        <w:spacing w:after="160"/>
      </w:pPr>
      <w:r>
        <w:rPr>
          <w:rFonts w:ascii="Arial" w:cs="Arial" w:eastAsia="Arial" w:hAnsi="Arial"/>
          <w:sz w:val="22"/>
          <w:szCs w:val="22"/>
        </w:rPr>
        <w:t xml:space="preserve">That is not a visualization upgrade. That is a fundamental change in how humanitarian organizations make decisions.</w:t>
      </w:r>
    </w:p>
    <w:p>
      <w:pPr>
        <w:pBdr>
          <w:bottom w:val="single" w:color="CCCCCC" w:sz="6" w:space="1"/>
        </w:pBdr>
      </w:pPr>
      <w:r>
        <w:t xml:space="preserve"/>
      </w:r>
    </w:p>
    <w:p>
      <w:r>
        <w:t xml:space="preserve"/>
      </w:r>
    </w:p>
    <w:p>
      <w:pPr>
        <w:pStyle w:val="Heading1"/>
      </w:pPr>
      <w:r>
        <w:rPr>
          <w:rFonts w:ascii="Arial" w:cs="Arial" w:eastAsia="Arial" w:hAnsi="Arial"/>
          <w:color w:val="ED1B2E"/>
        </w:rPr>
        <w:t xml:space="preserve">Appendix A: Data Sources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560"/>
        <w:gridCol w:w="2400"/>
      </w:tblGrid>
      <w:tr>
        <w:trPr>
          <w:tblHeader/>
        </w:trPr>
        <w:tc>
          <w:tcPr>
            <w:tcW w:type="dxa" w:w="2400"/>
            <w:tcBorders>
              <w:top w:val="single" w:color="CCCCCC" w:sz="1"/>
              <w:left w:val="single" w:color="CCCCCC" w:sz="1"/>
              <w:bottom w:val="single" w:color="CCCCCC" w:sz="1"/>
              <w:right w:val="single" w:color="CCCCCC" w:sz="1"/>
            </w:tcBorders>
            <w:shd w:fill="ED1B2E" w:val="clear"/>
            <w:tcMar>
              <w:top w:type="dxa" w:w="80"/>
              <w:left w:type="dxa" w:w="120"/>
              <w:bottom w:type="dxa" w:w="80"/>
              <w:right w:type="dxa" w:w="120"/>
            </w:tcMar>
          </w:tcPr>
          <w:p>
            <w:r>
              <w:rPr>
                <w:rFonts w:ascii="Arial" w:cs="Arial" w:eastAsia="Arial" w:hAnsi="Arial"/>
                <w:b/>
                <w:bCs/>
                <w:color w:val="FFFFFF"/>
                <w:sz w:val="20"/>
                <w:szCs w:val="20"/>
              </w:rPr>
              <w:t xml:space="preserve">Dataset</w:t>
            </w:r>
          </w:p>
        </w:tc>
        <w:tc>
          <w:tcPr>
            <w:tcW w:type="dxa" w:w="4560"/>
            <w:tcBorders>
              <w:top w:val="single" w:color="CCCCCC" w:sz="1"/>
              <w:left w:val="single" w:color="CCCCCC" w:sz="1"/>
              <w:bottom w:val="single" w:color="CCCCCC" w:sz="1"/>
              <w:right w:val="single" w:color="CCCCCC" w:sz="1"/>
            </w:tcBorders>
            <w:shd w:fill="ED1B2E" w:val="clear"/>
            <w:tcMar>
              <w:top w:type="dxa" w:w="80"/>
              <w:left w:type="dxa" w:w="120"/>
              <w:bottom w:type="dxa" w:w="80"/>
              <w:right w:type="dxa" w:w="120"/>
            </w:tcMar>
          </w:tcPr>
          <w:p>
            <w:r>
              <w:rPr>
                <w:rFonts w:ascii="Arial" w:cs="Arial" w:eastAsia="Arial" w:hAnsi="Arial"/>
                <w:b/>
                <w:bCs/>
                <w:color w:val="FFFFFF"/>
                <w:sz w:val="20"/>
                <w:szCs w:val="20"/>
              </w:rPr>
              <w:t xml:space="preserve">URL</w:t>
            </w:r>
          </w:p>
        </w:tc>
        <w:tc>
          <w:tcPr>
            <w:tcW w:type="dxa" w:w="2400"/>
            <w:tcBorders>
              <w:top w:val="single" w:color="CCCCCC" w:sz="1"/>
              <w:left w:val="single" w:color="CCCCCC" w:sz="1"/>
              <w:bottom w:val="single" w:color="CCCCCC" w:sz="1"/>
              <w:right w:val="single" w:color="CCCCCC" w:sz="1"/>
            </w:tcBorders>
            <w:shd w:fill="ED1B2E" w:val="clear"/>
            <w:tcMar>
              <w:top w:type="dxa" w:w="80"/>
              <w:left w:type="dxa" w:w="120"/>
              <w:bottom w:type="dxa" w:w="80"/>
              <w:right w:type="dxa" w:w="120"/>
            </w:tcMar>
          </w:tcPr>
          <w:p>
            <w:r>
              <w:rPr>
                <w:rFonts w:ascii="Arial" w:cs="Arial" w:eastAsia="Arial" w:hAnsi="Arial"/>
                <w:b/>
                <w:bCs/>
                <w:color w:val="FFFFFF"/>
                <w:sz w:val="20"/>
                <w:szCs w:val="20"/>
              </w:rPr>
              <w:t xml:space="preserve">Update Frequency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FEMA NRI</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services.arcgis.com/XG15cJAlne2vxtgt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Annual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CDC SVI</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svi.cdc.gov</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Every 2 years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ALICE</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unitedforalice.org</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Annual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Census ACS</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api.census.gov</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Annual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NFIRS</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usfa.fema.gov/nfirs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Annual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USA Structures</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gis-fema.hub.arcgis.com</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Periodic</w:t>
            </w:r>
          </w:p>
        </w:tc>
      </w:tr>
    </w:tbl>
    <w:p>
      <w:r>
        <w:t xml:space="preserve"/>
      </w:r>
    </w:p>
    <w:p>
      <w:pPr>
        <w:pStyle w:val="Heading1"/>
      </w:pPr>
      <w:r>
        <w:rPr>
          <w:rFonts w:ascii="Arial" w:cs="Arial" w:eastAsia="Arial" w:hAnsi="Arial"/>
          <w:color w:val="ED1B2E"/>
        </w:rPr>
        <w:t xml:space="preserve">Appendix B: Technology Stack</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360"/>
        <w:gridCol w:w="3600"/>
      </w:tblGrid>
      <w:tr>
        <w:trPr>
          <w:tblHeader/>
        </w:trPr>
        <w:tc>
          <w:tcPr>
            <w:tcW w:type="dxa" w:w="2400"/>
            <w:tcBorders>
              <w:top w:val="single" w:color="CCCCCC" w:sz="1"/>
              <w:left w:val="single" w:color="CCCCCC" w:sz="1"/>
              <w:bottom w:val="single" w:color="CCCCCC" w:sz="1"/>
              <w:right w:val="single" w:color="CCCCCC" w:sz="1"/>
            </w:tcBorders>
            <w:shd w:fill="ED1B2E"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3360"/>
            <w:tcBorders>
              <w:top w:val="single" w:color="CCCCCC" w:sz="1"/>
              <w:left w:val="single" w:color="CCCCCC" w:sz="1"/>
              <w:bottom w:val="single" w:color="CCCCCC" w:sz="1"/>
              <w:right w:val="single" w:color="CCCCCC" w:sz="1"/>
            </w:tcBorders>
            <w:shd w:fill="ED1B2E" w:val="clear"/>
            <w:tcMar>
              <w:top w:type="dxa" w:w="80"/>
              <w:left w:type="dxa" w:w="120"/>
              <w:bottom w:type="dxa" w:w="80"/>
              <w:right w:type="dxa" w:w="120"/>
            </w:tcMar>
          </w:tcPr>
          <w:p>
            <w:r>
              <w:rPr>
                <w:rFonts w:ascii="Arial" w:cs="Arial" w:eastAsia="Arial" w:hAnsi="Arial"/>
                <w:b/>
                <w:bCs/>
                <w:color w:val="FFFFFF"/>
                <w:sz w:val="20"/>
                <w:szCs w:val="20"/>
              </w:rPr>
              <w:t xml:space="preserve">Technology</w:t>
            </w:r>
          </w:p>
        </w:tc>
        <w:tc>
          <w:tcPr>
            <w:tcW w:type="dxa" w:w="3600"/>
            <w:tcBorders>
              <w:top w:val="single" w:color="CCCCCC" w:sz="1"/>
              <w:left w:val="single" w:color="CCCCCC" w:sz="1"/>
              <w:bottom w:val="single" w:color="CCCCCC" w:sz="1"/>
              <w:right w:val="single" w:color="CCCCCC" w:sz="1"/>
            </w:tcBorders>
            <w:shd w:fill="ED1B2E"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Spatial database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Supabase + PostGIS</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Geometry storage + spatial queries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Vector embeddings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pgvector</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Semantic search tied to location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Spatial index</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R-tree via GIST</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Fast geometry queries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AI query layer</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Claude API</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Natural language to hybrid query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Data pipeline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Python + pandas + geopandas</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Download, clean, enrich, load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Organizational enrichment</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ZIP to hierarchy lookup (33,120 records)</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ZIP to Division / Region / Chapter</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Frontend</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ArcGIS JS SDK 5.0</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Query interface + map display</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ED1B2E"/>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a1a1a"/>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2026-04-02T22:44:30.568Z</dcterms:created>
  <dcterms:modified xsi:type="dcterms:W3CDTF">2026-04-02T22:44:30.569Z</dcterms:modified>
</cp:coreProperties>
</file>

<file path=docProps/custom.xml><?xml version="1.0" encoding="utf-8"?>
<Properties xmlns="http://schemas.openxmlformats.org/officeDocument/2006/custom-properties" xmlns:vt="http://schemas.openxmlformats.org/officeDocument/2006/docPropsVTypes"/>
</file>